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AC754">
      <w:pPr>
        <w:pStyle w:val="133"/>
        <w:framePr w:hSpace="0" w:vSpace="0" w:wrap="auto" w:vAnchor="margin" w:hAnchor="text" w:yAlign="inline"/>
        <w:ind w:right="-506" w:rightChars="-241"/>
        <w:outlineLvl w:val="0"/>
        <w:rPr>
          <w:rFonts w:hint="eastAsia" w:hAnsi="黑体" w:eastAsia="黑体"/>
          <w:sz w:val="32"/>
          <w:szCs w:val="32"/>
          <w:lang w:eastAsia="zh-CN"/>
        </w:rPr>
      </w:pPr>
      <w:bookmarkStart w:id="0" w:name="_Toc434853433"/>
      <w:bookmarkStart w:id="1" w:name="_Toc432690032"/>
      <w:bookmarkStart w:id="2" w:name="_Toc434508409"/>
      <w:bookmarkStart w:id="3" w:name="OLE_LINK4"/>
      <w:bookmarkStart w:id="4" w:name="OLE_LINK5"/>
      <w:r>
        <w:rPr>
          <w:rFonts w:hAnsi="黑体"/>
          <w:sz w:val="32"/>
          <w:szCs w:val="32"/>
        </w:rPr>
        <w:t>附件</w:t>
      </w:r>
      <w:r>
        <w:rPr>
          <w:rFonts w:hint="eastAsia" w:hAnsi="黑体"/>
          <w:sz w:val="32"/>
          <w:szCs w:val="32"/>
          <w:lang w:val="en-US" w:eastAsia="zh-CN"/>
        </w:rPr>
        <w:t>1</w:t>
      </w:r>
      <w:bookmarkStart w:id="52" w:name="_GoBack"/>
      <w:bookmarkEnd w:id="52"/>
    </w:p>
    <w:p w14:paraId="5CFD87CD">
      <w:pPr>
        <w:rPr>
          <w:rFonts w:ascii="宋体" w:hAnsi="宋体"/>
          <w:szCs w:val="21"/>
        </w:rPr>
      </w:pPr>
    </w:p>
    <w:p w14:paraId="054FBCB6">
      <w:pPr>
        <w:pStyle w:val="133"/>
        <w:framePr w:hSpace="0" w:vSpace="0" w:wrap="auto" w:vAnchor="margin" w:hAnchor="text" w:yAlign="inline"/>
        <w:ind w:right="-506" w:rightChars="-241"/>
        <w:outlineLvl w:val="0"/>
        <w:rPr>
          <w:rFonts w:ascii="Times New Roman" w:eastAsia="宋体"/>
        </w:rPr>
      </w:pPr>
      <w:r>
        <w:rPr>
          <w:rFonts w:ascii="Times New Roman" w:eastAsia="宋体"/>
        </w:rPr>
        <w:t>ICS</w:t>
      </w:r>
      <w:bookmarkEnd w:id="0"/>
      <w:bookmarkEnd w:id="1"/>
      <w:bookmarkEnd w:id="2"/>
      <w:r>
        <w:rPr>
          <w:rFonts w:ascii="Times New Roman" w:eastAsia="宋体"/>
        </w:rPr>
        <w:t xml:space="preserve">  </w:t>
      </w:r>
      <w:r>
        <w:rPr>
          <w:rFonts w:hint="eastAsia" w:ascii="Times New Roman" w:eastAsia="宋体"/>
        </w:rPr>
        <w:t>65.020.01</w:t>
      </w:r>
    </w:p>
    <w:p w14:paraId="5F07418C">
      <w:pPr>
        <w:pStyle w:val="133"/>
        <w:framePr w:hSpace="0" w:vSpace="0" w:wrap="auto" w:vAnchor="margin" w:hAnchor="text" w:yAlign="inline"/>
        <w:tabs>
          <w:tab w:val="left" w:pos="9360"/>
        </w:tabs>
        <w:ind w:left="-420" w:leftChars="-200" w:firstLine="420" w:firstLineChars="200"/>
        <w:outlineLvl w:val="0"/>
        <w:rPr>
          <w:rFonts w:ascii="Times New Roman" w:eastAsia="宋体"/>
        </w:rPr>
      </w:pPr>
      <w:r>
        <w:rPr>
          <w:rFonts w:ascii="Times New Roman" w:eastAsia="宋体"/>
        </w:rPr>
        <w:t xml:space="preserve">CCS  </w:t>
      </w:r>
      <w:r>
        <w:rPr>
          <w:rFonts w:hint="eastAsia" w:ascii="Times New Roman" w:eastAsia="宋体"/>
        </w:rPr>
        <w:t>B 04</w:t>
      </w:r>
    </w:p>
    <w:p w14:paraId="346A70E0">
      <w:pPr>
        <w:rPr>
          <w:rFonts w:ascii="宋体" w:hAnsi="宋体"/>
          <w:sz w:val="32"/>
          <w:szCs w:val="20"/>
        </w:rPr>
      </w:pPr>
    </w:p>
    <w:p w14:paraId="7279131E">
      <w:pPr>
        <w:ind w:firstLine="242" w:firstLineChars="23"/>
        <w:jc w:val="center"/>
        <w:rPr>
          <w:rFonts w:ascii="黑体" w:hAnsi="黑体" w:eastAsia="黑体"/>
          <w:b/>
          <w:bCs/>
          <w:snapToGrid w:val="0"/>
          <w:spacing w:val="164"/>
          <w:kern w:val="0"/>
          <w:sz w:val="72"/>
          <w:szCs w:val="72"/>
        </w:rPr>
      </w:pPr>
      <w:r>
        <w:rPr>
          <w:rFonts w:hint="eastAsia" w:ascii="黑体" w:hAnsi="黑体" w:eastAsia="黑体"/>
          <w:b/>
          <w:bCs/>
          <w:snapToGrid w:val="0"/>
          <w:spacing w:val="164"/>
          <w:kern w:val="0"/>
          <w:sz w:val="72"/>
          <w:szCs w:val="72"/>
        </w:rPr>
        <w:t>团 体 标 准</w:t>
      </w:r>
    </w:p>
    <w:p w14:paraId="29DF6C9F">
      <w:pPr>
        <w:wordWrap w:val="0"/>
        <w:ind w:firstLine="3080" w:firstLineChars="1100"/>
        <w:jc w:val="right"/>
        <w:rPr>
          <w:rFonts w:eastAsia="黑体"/>
          <w:sz w:val="28"/>
          <w:szCs w:val="28"/>
        </w:rPr>
      </w:pPr>
      <w:r>
        <w:rPr>
          <w:rFonts w:eastAsia="黑体"/>
          <w:sz w:val="28"/>
          <w:szCs w:val="28"/>
        </w:rPr>
        <w:t>T/CCOA</w:t>
      </w:r>
      <w:r>
        <w:rPr>
          <w:rFonts w:hint="eastAsia" w:eastAsia="黑体"/>
          <w:sz w:val="28"/>
          <w:szCs w:val="28"/>
        </w:rPr>
        <w:t xml:space="preserve"> </w:t>
      </w:r>
      <w:r>
        <w:rPr>
          <w:rFonts w:eastAsia="黑体"/>
          <w:sz w:val="28"/>
          <w:szCs w:val="28"/>
        </w:rPr>
        <w:t>×××—××××</w:t>
      </w:r>
    </w:p>
    <w:p w14:paraId="7B56DA03">
      <w:pPr>
        <w:ind w:firstLine="46" w:firstLineChars="23"/>
        <w:jc w:val="right"/>
        <w:rPr>
          <w:rFonts w:eastAsia="黑体"/>
          <w:b/>
          <w:bCs/>
          <w:spacing w:val="164"/>
          <w:sz w:val="28"/>
          <w:szCs w:val="28"/>
        </w:rPr>
      </w:pPr>
      <w:r>
        <w:rPr>
          <w:rFonts w:ascii="宋体" w:hAnsi="宋体"/>
          <w:b/>
          <w:bCs/>
          <w:sz w:val="20"/>
          <w:szCs w:val="20"/>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350520</wp:posOffset>
                </wp:positionV>
                <wp:extent cx="5819775" cy="0"/>
                <wp:effectExtent l="0" t="4445" r="0" b="5080"/>
                <wp:wrapNone/>
                <wp:docPr id="2" name="Line 3"/>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05pt;margin-top:27.6pt;height:0pt;width:458.25pt;z-index:251659264;mso-width-relative:page;mso-height-relative:page;" filled="f" stroked="t" coordsize="21600,21600" o:gfxdata="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LGPfjUAAAABwEAAA8AAAAAAAAAAQAgAAAAIgAAAGRycy9kb3du&#10;cmV2LnhtbFBLAQIUABQAAAAIAIdO4kC1Zh04ygEAAJ8DAAAOAAAAAAAAAAEAIAAAACMBAABkcnMv&#10;ZTJvRG9jLnhtbFBLBQYAAAAABgAGAFkBAABfBQAAAAA=&#10;">
                <v:fill on="f" focussize="0,0"/>
                <v:stroke color="#000000" joinstyle="round"/>
                <v:imagedata o:title=""/>
                <o:lock v:ext="edit" aspectratio="f"/>
              </v:line>
            </w:pict>
          </mc:Fallback>
        </mc:AlternateContent>
      </w:r>
    </w:p>
    <w:p w14:paraId="4DF6A584">
      <w:pPr>
        <w:spacing w:line="240" w:lineRule="exact"/>
        <w:ind w:firstLine="883"/>
        <w:rPr>
          <w:rFonts w:ascii="宋体" w:hAnsi="宋体"/>
          <w:b/>
          <w:bCs/>
          <w:sz w:val="44"/>
          <w:szCs w:val="20"/>
        </w:rPr>
      </w:pPr>
    </w:p>
    <w:p w14:paraId="0A389FAF">
      <w:pPr>
        <w:ind w:firstLine="1040"/>
        <w:rPr>
          <w:rFonts w:ascii="宋体" w:hAnsi="宋体"/>
          <w:sz w:val="52"/>
          <w:szCs w:val="20"/>
        </w:rPr>
      </w:pPr>
    </w:p>
    <w:p w14:paraId="3952B12D">
      <w:pPr>
        <w:spacing w:line="800" w:lineRule="exact"/>
        <w:ind w:firstLine="1040"/>
        <w:rPr>
          <w:rFonts w:ascii="宋体" w:hAnsi="宋体"/>
          <w:sz w:val="52"/>
          <w:szCs w:val="20"/>
        </w:rPr>
      </w:pPr>
    </w:p>
    <w:p w14:paraId="3463D275">
      <w:pPr>
        <w:spacing w:line="1000" w:lineRule="exact"/>
        <w:jc w:val="center"/>
        <w:rPr>
          <w:rFonts w:ascii="黑体" w:hAnsi="宋体" w:eastAsia="黑体"/>
          <w:b/>
          <w:bCs/>
          <w:sz w:val="52"/>
          <w:szCs w:val="20"/>
        </w:rPr>
      </w:pPr>
      <w:r>
        <w:rPr>
          <w:rFonts w:hint="eastAsia" w:ascii="黑体" w:hAnsi="宋体" w:eastAsia="黑体"/>
          <w:b/>
          <w:bCs/>
          <w:sz w:val="52"/>
          <w:szCs w:val="20"/>
        </w:rPr>
        <w:t>小麦生产过程减损技术通则</w:t>
      </w:r>
    </w:p>
    <w:p w14:paraId="748D9470">
      <w:pPr>
        <w:jc w:val="center"/>
        <w:rPr>
          <w:b/>
          <w:bCs/>
          <w:sz w:val="28"/>
          <w:szCs w:val="28"/>
        </w:rPr>
      </w:pPr>
      <w:r>
        <w:rPr>
          <w:b/>
          <w:bCs/>
          <w:sz w:val="28"/>
          <w:szCs w:val="28"/>
        </w:rPr>
        <w:t xml:space="preserve">General </w:t>
      </w:r>
      <w:r>
        <w:rPr>
          <w:rFonts w:hint="eastAsia"/>
          <w:b/>
          <w:bCs/>
          <w:sz w:val="28"/>
          <w:szCs w:val="28"/>
        </w:rPr>
        <w:t>R</w:t>
      </w:r>
      <w:r>
        <w:rPr>
          <w:b/>
          <w:bCs/>
          <w:sz w:val="28"/>
          <w:szCs w:val="28"/>
        </w:rPr>
        <w:t xml:space="preserve">ules for </w:t>
      </w:r>
      <w:r>
        <w:rPr>
          <w:rFonts w:hint="eastAsia"/>
          <w:b/>
          <w:bCs/>
          <w:sz w:val="28"/>
          <w:szCs w:val="28"/>
        </w:rPr>
        <w:t>L</w:t>
      </w:r>
      <w:r>
        <w:rPr>
          <w:b/>
          <w:bCs/>
          <w:sz w:val="28"/>
          <w:szCs w:val="28"/>
        </w:rPr>
        <w:t xml:space="preserve">oss </w:t>
      </w:r>
      <w:r>
        <w:rPr>
          <w:rFonts w:hint="eastAsia"/>
          <w:b/>
          <w:bCs/>
          <w:sz w:val="28"/>
          <w:szCs w:val="28"/>
        </w:rPr>
        <w:t>R</w:t>
      </w:r>
      <w:r>
        <w:rPr>
          <w:b/>
          <w:bCs/>
          <w:sz w:val="28"/>
          <w:szCs w:val="28"/>
        </w:rPr>
        <w:t xml:space="preserve">eduction </w:t>
      </w:r>
      <w:r>
        <w:rPr>
          <w:rFonts w:hint="eastAsia"/>
          <w:b/>
          <w:bCs/>
          <w:sz w:val="28"/>
          <w:szCs w:val="28"/>
        </w:rPr>
        <w:t>T</w:t>
      </w:r>
      <w:r>
        <w:rPr>
          <w:b/>
          <w:bCs/>
          <w:sz w:val="28"/>
          <w:szCs w:val="28"/>
        </w:rPr>
        <w:t xml:space="preserve">echnology in </w:t>
      </w:r>
      <w:r>
        <w:rPr>
          <w:rFonts w:hint="eastAsia"/>
          <w:b/>
          <w:bCs/>
          <w:sz w:val="28"/>
          <w:szCs w:val="28"/>
        </w:rPr>
        <w:t>W</w:t>
      </w:r>
      <w:r>
        <w:rPr>
          <w:b/>
          <w:bCs/>
          <w:sz w:val="28"/>
          <w:szCs w:val="28"/>
        </w:rPr>
        <w:t xml:space="preserve">heat </w:t>
      </w:r>
      <w:r>
        <w:rPr>
          <w:rFonts w:hint="eastAsia"/>
          <w:b/>
          <w:bCs/>
          <w:sz w:val="28"/>
          <w:szCs w:val="28"/>
        </w:rPr>
        <w:t>P</w:t>
      </w:r>
      <w:r>
        <w:rPr>
          <w:b/>
          <w:bCs/>
          <w:sz w:val="28"/>
          <w:szCs w:val="28"/>
        </w:rPr>
        <w:t>roduction process</w:t>
      </w:r>
    </w:p>
    <w:p w14:paraId="768486E4">
      <w:pPr>
        <w:spacing w:line="1000" w:lineRule="exact"/>
        <w:jc w:val="center"/>
        <w:rPr>
          <w:rFonts w:ascii="楷体_GB2312" w:eastAsia="楷体_GB2312"/>
          <w:b/>
          <w:snapToGrid w:val="0"/>
          <w:kern w:val="0"/>
          <w:sz w:val="30"/>
          <w:szCs w:val="30"/>
        </w:rPr>
      </w:pPr>
      <w:r>
        <w:rPr>
          <w:rFonts w:hint="eastAsia" w:ascii="楷体_GB2312" w:eastAsia="楷体_GB2312"/>
          <w:b/>
          <w:snapToGrid w:val="0"/>
          <w:kern w:val="0"/>
          <w:sz w:val="30"/>
          <w:szCs w:val="30"/>
        </w:rPr>
        <w:t>（征求意见稿）</w:t>
      </w:r>
    </w:p>
    <w:p w14:paraId="5537E2EC">
      <w:pPr>
        <w:spacing w:line="800" w:lineRule="exact"/>
        <w:ind w:firstLine="1040"/>
        <w:rPr>
          <w:sz w:val="52"/>
        </w:rPr>
      </w:pPr>
    </w:p>
    <w:p w14:paraId="5C094895">
      <w:pPr>
        <w:spacing w:line="400" w:lineRule="exact"/>
        <w:ind w:firstLine="1040"/>
        <w:rPr>
          <w:sz w:val="52"/>
        </w:rPr>
      </w:pPr>
    </w:p>
    <w:p w14:paraId="6B325597">
      <w:pPr>
        <w:spacing w:line="400" w:lineRule="exact"/>
        <w:ind w:firstLine="1040"/>
        <w:rPr>
          <w:sz w:val="52"/>
        </w:rPr>
      </w:pPr>
    </w:p>
    <w:p w14:paraId="050A7D6B">
      <w:pPr>
        <w:spacing w:line="400" w:lineRule="exact"/>
        <w:ind w:firstLine="1040"/>
        <w:rPr>
          <w:sz w:val="52"/>
        </w:rPr>
      </w:pPr>
    </w:p>
    <w:p w14:paraId="7E7A1336">
      <w:pPr>
        <w:spacing w:line="400" w:lineRule="exact"/>
      </w:pPr>
    </w:p>
    <w:p w14:paraId="2C3FF84D">
      <w:pPr>
        <w:spacing w:line="400" w:lineRule="exact"/>
        <w:ind w:firstLine="420"/>
      </w:pPr>
    </w:p>
    <w:p w14:paraId="2D257B37">
      <w:pPr>
        <w:spacing w:line="280" w:lineRule="exact"/>
        <w:rPr>
          <w:rFonts w:ascii="黑体" w:eastAsia="黑体"/>
          <w:b/>
          <w:bCs/>
          <w:sz w:val="28"/>
          <w:szCs w:val="20"/>
        </w:rPr>
      </w:pPr>
      <w:r>
        <w:rPr>
          <w:rFonts w:hint="eastAsia" w:ascii="黑体" w:eastAsia="黑体"/>
          <w:b/>
          <w:bCs/>
          <w:sz w:val="28"/>
          <w:szCs w:val="20"/>
        </w:rPr>
        <w:t>20XX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18"/>
          <w:szCs w:val="20"/>
        </w:rPr>
        <w:t xml:space="preserve"> </w:t>
      </w:r>
      <w:r>
        <w:rPr>
          <w:rFonts w:hint="eastAsia" w:ascii="黑体" w:hAnsi="宋体" w:eastAsia="黑体"/>
          <w:b/>
          <w:bCs/>
          <w:sz w:val="28"/>
          <w:szCs w:val="20"/>
        </w:rPr>
        <w:t xml:space="preserve">发布                             </w:t>
      </w:r>
      <w:r>
        <w:rPr>
          <w:rFonts w:hint="eastAsia" w:ascii="黑体" w:eastAsia="黑体"/>
          <w:b/>
          <w:bCs/>
          <w:sz w:val="28"/>
          <w:szCs w:val="20"/>
        </w:rPr>
        <w:t>20XX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w:t>
      </w:r>
      <w:r>
        <w:rPr>
          <w:rFonts w:hint="eastAsia" w:ascii="黑体" w:eastAsia="黑体"/>
          <w:b/>
          <w:bCs/>
          <w:sz w:val="28"/>
          <w:szCs w:val="20"/>
        </w:rPr>
        <w:t>XX</w:t>
      </w:r>
      <w:r>
        <w:rPr>
          <w:rFonts w:hint="eastAsia" w:ascii="黑体" w:hAnsi="宋体" w:eastAsia="黑体"/>
          <w:b/>
          <w:bCs/>
          <w:sz w:val="28"/>
          <w:szCs w:val="20"/>
        </w:rPr>
        <w:t>实施</w:t>
      </w:r>
    </w:p>
    <w:p w14:paraId="11F4AD46">
      <w:pPr>
        <w:spacing w:line="280" w:lineRule="exact"/>
        <w:ind w:firstLine="400"/>
        <w:rPr>
          <w:rFonts w:ascii="黑体" w:eastAsia="黑体"/>
          <w:sz w:val="28"/>
          <w:szCs w:val="20"/>
        </w:rPr>
      </w:pPr>
      <w:r>
        <w:rPr>
          <w:rFonts w:ascii="黑体" w:eastAsia="黑体"/>
          <w:sz w:val="20"/>
          <w:szCs w:val="20"/>
        </w:rPr>
        <mc:AlternateContent>
          <mc:Choice Requires="wps">
            <w:drawing>
              <wp:anchor distT="0" distB="0" distL="114300" distR="114300" simplePos="0" relativeHeight="251660288" behindDoc="0" locked="0" layoutInCell="1" allowOverlap="1">
                <wp:simplePos x="0" y="0"/>
                <wp:positionH relativeFrom="column">
                  <wp:posOffset>211455</wp:posOffset>
                </wp:positionH>
                <wp:positionV relativeFrom="paragraph">
                  <wp:posOffset>61595</wp:posOffset>
                </wp:positionV>
                <wp:extent cx="5457825" cy="0"/>
                <wp:effectExtent l="0" t="4445" r="0" b="5080"/>
                <wp:wrapNone/>
                <wp:docPr id="3" name="Line 5"/>
                <wp:cNvGraphicFramePr/>
                <a:graphic xmlns:a="http://schemas.openxmlformats.org/drawingml/2006/main">
                  <a:graphicData uri="http://schemas.microsoft.com/office/word/2010/wordprocessingShape">
                    <wps:wsp>
                      <wps:cNvCnPr>
                        <a:cxnSpLocks noChangeShapeType="1"/>
                      </wps:cNvCnPr>
                      <wps:spPr bwMode="auto">
                        <a:xfrm>
                          <a:off x="0" y="0"/>
                          <a:ext cx="5457825" cy="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16.65pt;margin-top:4.85pt;height:0pt;width:429.75pt;z-index:251660288;mso-width-relative:page;mso-height-relative:page;" filled="f" stroked="t" coordsize="21600,21600" o:gfxdata="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Q/mH7UAAAABgEAAA8AAAAAAAAAAQAgAAAAIgAAAGRycy9kb3ducmV2&#10;LnhtbFBLAQIUABQAAAAIAIdO4kALaRebxwEAAJ8DAAAOAAAAAAAAAAEAIAAAACMBAABkcnMvZTJv&#10;RG9jLnhtbFBLBQYAAAAABgAGAFkBAABcBQAAAAA=&#10;">
                <v:fill on="f" focussize="0,0"/>
                <v:stroke color="#000000" joinstyle="round"/>
                <v:imagedata o:title=""/>
                <o:lock v:ext="edit" aspectratio="f"/>
              </v:line>
            </w:pict>
          </mc:Fallback>
        </mc:AlternateContent>
      </w:r>
    </w:p>
    <w:p w14:paraId="72A8040F">
      <w:pPr>
        <w:ind w:firstLine="3002" w:firstLineChars="1071"/>
        <w:textAlignment w:val="center"/>
        <w:rPr>
          <w:rFonts w:eastAsia="黑体"/>
          <w:sz w:val="28"/>
          <w:szCs w:val="28"/>
        </w:rPr>
      </w:pPr>
      <w:r>
        <w:rPr>
          <w:rFonts w:hint="eastAsia" w:ascii="华文中宋" w:hAnsi="华文中宋" w:eastAsia="华文中宋"/>
          <w:b/>
          <w:bCs/>
          <w:sz w:val="28"/>
          <w:szCs w:val="20"/>
        </w:rPr>
        <w:t xml:space="preserve">中国粮油学会  </w:t>
      </w:r>
      <w:r>
        <w:rPr>
          <w:rFonts w:hint="eastAsia" w:eastAsia="黑体"/>
          <w:sz w:val="28"/>
          <w:szCs w:val="28"/>
        </w:rPr>
        <w:t>发布</w:t>
      </w:r>
      <w:bookmarkEnd w:id="3"/>
      <w:bookmarkEnd w:id="4"/>
    </w:p>
    <w:p w14:paraId="32B0A50B">
      <w:pPr>
        <w:pStyle w:val="122"/>
        <w:spacing w:before="851" w:after="680"/>
        <w:rPr>
          <w:rFonts w:ascii="Times New Roman"/>
          <w:color w:val="000000" w:themeColor="text1"/>
          <w14:textFill>
            <w14:solidFill>
              <w14:schemeClr w14:val="tx1"/>
            </w14:solidFill>
          </w14:textFill>
        </w:rPr>
      </w:pPr>
      <w:bookmarkStart w:id="5" w:name="_Toc110269144"/>
      <w:bookmarkStart w:id="6" w:name="_Toc381782041"/>
      <w:r>
        <w:rPr>
          <w:rFonts w:ascii="Times New Roman"/>
          <w:color w:val="000000" w:themeColor="text1"/>
          <w14:textFill>
            <w14:solidFill>
              <w14:schemeClr w14:val="tx1"/>
            </w14:solidFill>
          </w14:textFill>
        </w:rPr>
        <w:t>前</w:t>
      </w:r>
      <w:bookmarkStart w:id="7" w:name="BKQY"/>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 言</w:t>
      </w:r>
      <w:bookmarkEnd w:id="5"/>
      <w:bookmarkEnd w:id="7"/>
    </w:p>
    <w:p w14:paraId="3DB8588F">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本文件按照GB/T</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1.1—2020《标准化工作导则</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第1部分：标准化文件的结构和起草规则》的规定起草。</w:t>
      </w:r>
    </w:p>
    <w:p w14:paraId="642A3D50">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请注意本文件的某些内容可能涉及专利。本文件的发布机构不承担识别专利的责任。</w:t>
      </w:r>
    </w:p>
    <w:p w14:paraId="437F1E53">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本文件由</w:t>
      </w:r>
      <w:r>
        <w:rPr>
          <w:rFonts w:hint="eastAsia" w:ascii="Times New Roman"/>
          <w:color w:val="000000" w:themeColor="text1"/>
          <w14:textFill>
            <w14:solidFill>
              <w14:schemeClr w14:val="tx1"/>
            </w14:solidFill>
          </w14:textFill>
        </w:rPr>
        <w:t>中国粮油学会提出并归口</w:t>
      </w:r>
      <w:r>
        <w:rPr>
          <w:rFonts w:ascii="Times New Roman"/>
          <w:color w:val="000000" w:themeColor="text1"/>
          <w14:textFill>
            <w14:solidFill>
              <w14:schemeClr w14:val="tx1"/>
            </w14:solidFill>
          </w14:textFill>
        </w:rPr>
        <w:t>。</w:t>
      </w:r>
    </w:p>
    <w:p w14:paraId="7EBB1E14">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本文件起草单位：</w:t>
      </w:r>
    </w:p>
    <w:p w14:paraId="6B7DF3DA">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本文件主要起草人：</w:t>
      </w:r>
    </w:p>
    <w:p w14:paraId="5A00E582">
      <w:pPr>
        <w:pStyle w:val="28"/>
        <w:rPr>
          <w:rFonts w:ascii="Times New Roman"/>
          <w:color w:val="000000" w:themeColor="text1"/>
          <w14:textFill>
            <w14:solidFill>
              <w14:schemeClr w14:val="tx1"/>
            </w14:solidFill>
          </w14:textFill>
        </w:rPr>
      </w:pPr>
    </w:p>
    <w:p w14:paraId="6F719B0B">
      <w:pPr>
        <w:pStyle w:val="28"/>
        <w:rPr>
          <w:rFonts w:ascii="Times New Roman"/>
          <w:color w:val="000000" w:themeColor="text1"/>
          <w14:textFill>
            <w14:solidFill>
              <w14:schemeClr w14:val="tx1"/>
            </w14:solidFill>
          </w14:textFill>
        </w:rPr>
      </w:pPr>
    </w:p>
    <w:p w14:paraId="7455E7A2">
      <w:pPr>
        <w:pStyle w:val="39"/>
        <w:sectPr>
          <w:headerReference r:id="rId3" w:type="default"/>
          <w:footerReference r:id="rId4" w:type="default"/>
          <w:footerReference r:id="rId5" w:type="even"/>
          <w:pgSz w:w="11906" w:h="16838"/>
          <w:pgMar w:top="1701" w:right="1531" w:bottom="1531" w:left="1531" w:header="1134" w:footer="680" w:gutter="0"/>
          <w:pgNumType w:start="0"/>
          <w:cols w:space="425" w:num="1"/>
          <w:titlePg/>
          <w:docGrid w:type="lines" w:linePitch="312" w:charSpace="0"/>
        </w:sectPr>
      </w:pPr>
    </w:p>
    <w:p w14:paraId="1EA42EC2">
      <w:pPr>
        <w:pStyle w:val="122"/>
        <w:spacing w:before="851" w:after="68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 xml:space="preserve">引  </w:t>
      </w:r>
      <w:r>
        <w:rPr>
          <w:rFonts w:ascii="Times New Roman"/>
          <w:color w:val="000000" w:themeColor="text1"/>
          <w14:textFill>
            <w14:solidFill>
              <w14:schemeClr w14:val="tx1"/>
            </w14:solidFill>
          </w14:textFill>
        </w:rPr>
        <w:t> 言</w:t>
      </w:r>
    </w:p>
    <w:p w14:paraId="1BA29A87">
      <w:pPr>
        <w:pStyle w:val="37"/>
        <w:spacing w:before="0" w:beforeAutospacing="0" w:after="0" w:afterAutospacing="0"/>
        <w:ind w:firstLine="420" w:firstLineChars="200"/>
        <w:jc w:val="both"/>
        <w:rPr>
          <w:rFonts w:ascii="Times New Roman" w:hAnsi="Times New Roman" w:eastAsiaTheme="minorEastAsia"/>
          <w:kern w:val="2"/>
          <w:sz w:val="21"/>
          <w:szCs w:val="21"/>
        </w:rPr>
      </w:pPr>
      <w:r>
        <w:rPr>
          <w:rFonts w:hint="eastAsia" w:ascii="Times New Roman" w:hAnsi="Times New Roman" w:eastAsiaTheme="minorEastAsia"/>
          <w:kern w:val="2"/>
          <w:sz w:val="21"/>
          <w:szCs w:val="21"/>
        </w:rPr>
        <w:t>粮食是人类赖以生存的物质基础，是人类生存发展相同的物质载体，是构建人类命运共同体的基础。粮食损失主要是由于技术、设施、设备、机械等客观因素带来的食物数量的损失，主要发生在粮食供应链的前端，如生产、收获、运输、储藏等环节。我国是一个人多地少的大国，粮食安全始终是治国理政的头等大事，是事关人类生存的根本性问题，但在粮食供应链上因数量损耗、品质下降而引起的可食用粮食数量的减少是个不可回避的问题。</w:t>
      </w:r>
    </w:p>
    <w:p w14:paraId="480EDC8C">
      <w:pPr>
        <w:pStyle w:val="37"/>
        <w:spacing w:before="0" w:beforeAutospacing="0" w:after="0" w:afterAutospacing="0"/>
        <w:ind w:firstLine="420" w:firstLineChars="200"/>
        <w:jc w:val="both"/>
        <w:rPr>
          <w:rFonts w:ascii="Times New Roman" w:hAnsi="Times New Roman" w:eastAsiaTheme="minorEastAsia"/>
          <w:kern w:val="2"/>
          <w:sz w:val="21"/>
          <w:szCs w:val="21"/>
        </w:rPr>
      </w:pPr>
      <w:r>
        <w:rPr>
          <w:rFonts w:hint="eastAsia" w:ascii="Times New Roman" w:hAnsi="Times New Roman" w:eastAsiaTheme="minorEastAsia"/>
          <w:kern w:val="2"/>
          <w:sz w:val="21"/>
          <w:szCs w:val="21"/>
        </w:rPr>
        <w:t>据联合国粮农组织统计，每年全球粮食从生产到零售全环节损失约占世界粮食产量的14%。数据显示，我国粮食生产仅“三夏”小麦机收环节减损1个百分点，就可挽回25亿斤粮食，相当于新增300万亩面积的产量。从这个意义上说，减损就是增产，降耗就是增收。粮食浪费不仅仅意味着扔掉了大量的食物，更意味着生产这些食物所投入的大量水、能源、土地以及生产资料等无效消耗，以及温室气体额外的大量排放。因此，减少粮食损耗是保障粮食安全的重要途径，意义重大。2023年的中央一号文件提出，坚持节约优先，落实粮食节约行动方案，深入推进产运储加消全链条节粮减损，强化粮食安全教育，反对食物浪费。</w:t>
      </w:r>
    </w:p>
    <w:p w14:paraId="7D2FC6D7">
      <w:pPr>
        <w:pStyle w:val="37"/>
        <w:spacing w:before="0" w:beforeAutospacing="0" w:after="0" w:afterAutospacing="0"/>
        <w:ind w:firstLine="420" w:firstLineChars="200"/>
        <w:jc w:val="both"/>
        <w:rPr>
          <w:rFonts w:ascii="Times New Roman" w:hAnsi="Times New Roman" w:eastAsiaTheme="minorEastAsia"/>
          <w:kern w:val="2"/>
          <w:sz w:val="21"/>
          <w:szCs w:val="21"/>
        </w:rPr>
      </w:pPr>
      <w:r>
        <w:rPr>
          <w:rFonts w:hint="eastAsia" w:eastAsiaTheme="minorEastAsia"/>
          <w:kern w:val="2"/>
          <w:sz w:val="21"/>
          <w:szCs w:val="21"/>
        </w:rPr>
        <w:t>中国小麦种植区域划分</w:t>
      </w:r>
      <w:r>
        <w:rPr>
          <w:rFonts w:hint="eastAsia" w:ascii="Times New Roman" w:hAnsi="Times New Roman" w:eastAsiaTheme="minorEastAsia"/>
          <w:sz w:val="21"/>
          <w:szCs w:val="21"/>
        </w:rPr>
        <w:t>为</w:t>
      </w:r>
      <w:r>
        <w:rPr>
          <w:rFonts w:eastAsiaTheme="minorEastAsia"/>
          <w:kern w:val="2"/>
          <w:sz w:val="21"/>
          <w:szCs w:val="21"/>
        </w:rPr>
        <w:t>4</w:t>
      </w:r>
      <w:r>
        <w:rPr>
          <w:rFonts w:hint="eastAsia" w:ascii="Times New Roman" w:hAnsi="Times New Roman" w:eastAsiaTheme="minorEastAsia"/>
          <w:sz w:val="21"/>
          <w:szCs w:val="21"/>
        </w:rPr>
        <w:t>个</w:t>
      </w:r>
      <w:r>
        <w:rPr>
          <w:rFonts w:hint="eastAsia" w:eastAsiaTheme="minorEastAsia"/>
          <w:kern w:val="2"/>
          <w:sz w:val="21"/>
          <w:szCs w:val="21"/>
        </w:rPr>
        <w:t>主区,即</w:t>
      </w:r>
      <w:r>
        <w:rPr>
          <w:sz w:val="21"/>
          <w:szCs w:val="21"/>
        </w:rPr>
        <w:t>:</w:t>
      </w:r>
      <w:r>
        <w:rPr>
          <w:rFonts w:hint="eastAsia"/>
          <w:sz w:val="21"/>
          <w:szCs w:val="21"/>
        </w:rPr>
        <w:t>北方冬</w:t>
      </w:r>
      <w:r>
        <w:rPr>
          <w:sz w:val="21"/>
          <w:szCs w:val="21"/>
        </w:rPr>
        <w:t>(</w:t>
      </w:r>
      <w:r>
        <w:rPr>
          <w:rFonts w:hint="eastAsia"/>
          <w:sz w:val="21"/>
          <w:szCs w:val="21"/>
        </w:rPr>
        <w:t>秋播</w:t>
      </w:r>
      <w:r>
        <w:rPr>
          <w:sz w:val="21"/>
          <w:szCs w:val="21"/>
        </w:rPr>
        <w:t>)</w:t>
      </w:r>
      <w:r>
        <w:rPr>
          <w:rFonts w:hint="eastAsia"/>
          <w:sz w:val="21"/>
          <w:szCs w:val="21"/>
        </w:rPr>
        <w:t>麦区、南方冬</w:t>
      </w:r>
      <w:r>
        <w:rPr>
          <w:sz w:val="21"/>
          <w:szCs w:val="21"/>
        </w:rPr>
        <w:t>(</w:t>
      </w:r>
      <w:r>
        <w:rPr>
          <w:rFonts w:hint="eastAsia"/>
          <w:sz w:val="21"/>
          <w:szCs w:val="21"/>
        </w:rPr>
        <w:t>秋播</w:t>
      </w:r>
      <w:r>
        <w:rPr>
          <w:sz w:val="21"/>
          <w:szCs w:val="21"/>
        </w:rPr>
        <w:t>)</w:t>
      </w:r>
      <w:r>
        <w:rPr>
          <w:rFonts w:hint="eastAsia"/>
          <w:sz w:val="21"/>
          <w:szCs w:val="21"/>
        </w:rPr>
        <w:t>麦区、春</w:t>
      </w:r>
      <w:r>
        <w:rPr>
          <w:sz w:val="21"/>
          <w:szCs w:val="21"/>
        </w:rPr>
        <w:t>(</w:t>
      </w:r>
      <w:r>
        <w:rPr>
          <w:rFonts w:hint="eastAsia"/>
          <w:sz w:val="21"/>
          <w:szCs w:val="21"/>
        </w:rPr>
        <w:t>播</w:t>
      </w:r>
      <w:r>
        <w:rPr>
          <w:sz w:val="21"/>
          <w:szCs w:val="21"/>
        </w:rPr>
        <w:t>)</w:t>
      </w:r>
      <w:r>
        <w:rPr>
          <w:rFonts w:hint="eastAsia"/>
          <w:sz w:val="21"/>
          <w:szCs w:val="21"/>
        </w:rPr>
        <w:t>麦区和冬春兼播麦区。进一</w:t>
      </w:r>
      <w:r>
        <w:rPr>
          <w:rFonts w:hint="eastAsia" w:eastAsiaTheme="minorEastAsia"/>
          <w:kern w:val="2"/>
          <w:sz w:val="21"/>
          <w:szCs w:val="21"/>
        </w:rPr>
        <w:t>步划分为</w:t>
      </w:r>
      <w:r>
        <w:rPr>
          <w:rFonts w:eastAsiaTheme="minorEastAsia"/>
          <w:kern w:val="2"/>
          <w:sz w:val="21"/>
          <w:szCs w:val="21"/>
        </w:rPr>
        <w:t>10</w:t>
      </w:r>
      <w:r>
        <w:rPr>
          <w:rFonts w:hint="eastAsia" w:eastAsiaTheme="minorEastAsia"/>
          <w:kern w:val="2"/>
          <w:sz w:val="21"/>
          <w:szCs w:val="21"/>
        </w:rPr>
        <w:t>个亚区,即</w:t>
      </w:r>
      <w:r>
        <w:rPr>
          <w:sz w:val="21"/>
          <w:szCs w:val="21"/>
        </w:rPr>
        <w:t>:</w:t>
      </w:r>
      <w:r>
        <w:rPr>
          <w:rFonts w:hint="eastAsia"/>
          <w:sz w:val="21"/>
          <w:szCs w:val="21"/>
        </w:rPr>
        <w:t>北部冬</w:t>
      </w:r>
      <w:r>
        <w:rPr>
          <w:sz w:val="21"/>
          <w:szCs w:val="21"/>
        </w:rPr>
        <w:t>(</w:t>
      </w:r>
      <w:r>
        <w:rPr>
          <w:rFonts w:hint="eastAsia"/>
          <w:sz w:val="21"/>
          <w:szCs w:val="21"/>
        </w:rPr>
        <w:t>秋播</w:t>
      </w:r>
      <w:r>
        <w:rPr>
          <w:sz w:val="21"/>
          <w:szCs w:val="21"/>
        </w:rPr>
        <w:t>)</w:t>
      </w:r>
      <w:r>
        <w:rPr>
          <w:rFonts w:hint="eastAsia"/>
          <w:sz w:val="21"/>
          <w:szCs w:val="21"/>
        </w:rPr>
        <w:t>麦区、黄淮冬</w:t>
      </w:r>
      <w:r>
        <w:rPr>
          <w:sz w:val="21"/>
          <w:szCs w:val="21"/>
        </w:rPr>
        <w:t>(</w:t>
      </w:r>
      <w:r>
        <w:rPr>
          <w:rFonts w:hint="eastAsia"/>
          <w:sz w:val="21"/>
          <w:szCs w:val="21"/>
        </w:rPr>
        <w:t>秋播</w:t>
      </w:r>
      <w:r>
        <w:rPr>
          <w:sz w:val="21"/>
          <w:szCs w:val="21"/>
        </w:rPr>
        <w:t>)</w:t>
      </w:r>
      <w:r>
        <w:rPr>
          <w:rFonts w:hint="eastAsia"/>
          <w:sz w:val="21"/>
          <w:szCs w:val="21"/>
        </w:rPr>
        <w:t>麦区、长江中下游冬</w:t>
      </w:r>
      <w:r>
        <w:rPr>
          <w:sz w:val="21"/>
          <w:szCs w:val="21"/>
        </w:rPr>
        <w:t>(</w:t>
      </w:r>
      <w:r>
        <w:rPr>
          <w:rFonts w:hint="eastAsia"/>
          <w:sz w:val="21"/>
          <w:szCs w:val="21"/>
        </w:rPr>
        <w:t>秋播</w:t>
      </w:r>
      <w:r>
        <w:rPr>
          <w:sz w:val="21"/>
          <w:szCs w:val="21"/>
        </w:rPr>
        <w:t>)</w:t>
      </w:r>
      <w:r>
        <w:rPr>
          <w:rFonts w:hint="eastAsia"/>
          <w:sz w:val="21"/>
          <w:szCs w:val="21"/>
        </w:rPr>
        <w:t>麦区、西南冬</w:t>
      </w:r>
      <w:r>
        <w:rPr>
          <w:sz w:val="21"/>
          <w:szCs w:val="21"/>
        </w:rPr>
        <w:t>(</w:t>
      </w:r>
      <w:r>
        <w:rPr>
          <w:rFonts w:hint="eastAsia"/>
          <w:sz w:val="21"/>
          <w:szCs w:val="21"/>
        </w:rPr>
        <w:t>秋播</w:t>
      </w:r>
      <w:r>
        <w:rPr>
          <w:sz w:val="21"/>
          <w:szCs w:val="21"/>
        </w:rPr>
        <w:t>)</w:t>
      </w:r>
      <w:r>
        <w:rPr>
          <w:rFonts w:hint="eastAsia"/>
          <w:sz w:val="21"/>
          <w:szCs w:val="21"/>
        </w:rPr>
        <w:t>麦区、华南冬</w:t>
      </w:r>
      <w:r>
        <w:rPr>
          <w:sz w:val="21"/>
          <w:szCs w:val="21"/>
        </w:rPr>
        <w:t>(</w:t>
      </w:r>
      <w:r>
        <w:rPr>
          <w:rFonts w:hint="eastAsia"/>
          <w:sz w:val="21"/>
          <w:szCs w:val="21"/>
        </w:rPr>
        <w:t>晚秋播</w:t>
      </w:r>
      <w:r>
        <w:rPr>
          <w:sz w:val="21"/>
          <w:szCs w:val="21"/>
        </w:rPr>
        <w:t>)</w:t>
      </w:r>
      <w:r>
        <w:rPr>
          <w:rFonts w:hint="eastAsia"/>
          <w:sz w:val="21"/>
          <w:szCs w:val="21"/>
        </w:rPr>
        <w:t>麦区、东北春</w:t>
      </w:r>
      <w:r>
        <w:rPr>
          <w:sz w:val="21"/>
          <w:szCs w:val="21"/>
        </w:rPr>
        <w:t>(</w:t>
      </w:r>
      <w:r>
        <w:rPr>
          <w:rFonts w:hint="eastAsia"/>
          <w:sz w:val="21"/>
          <w:szCs w:val="21"/>
        </w:rPr>
        <w:t>播</w:t>
      </w:r>
      <w:r>
        <w:rPr>
          <w:sz w:val="21"/>
          <w:szCs w:val="21"/>
        </w:rPr>
        <w:t>)</w:t>
      </w:r>
      <w:r>
        <w:rPr>
          <w:rFonts w:hint="eastAsia"/>
          <w:sz w:val="21"/>
          <w:szCs w:val="21"/>
        </w:rPr>
        <w:t>麦区、北部春</w:t>
      </w:r>
      <w:r>
        <w:rPr>
          <w:sz w:val="21"/>
          <w:szCs w:val="21"/>
        </w:rPr>
        <w:t>(</w:t>
      </w:r>
      <w:r>
        <w:rPr>
          <w:rFonts w:hint="eastAsia"/>
          <w:sz w:val="21"/>
          <w:szCs w:val="21"/>
        </w:rPr>
        <w:t>播</w:t>
      </w:r>
      <w:r>
        <w:rPr>
          <w:sz w:val="21"/>
          <w:szCs w:val="21"/>
        </w:rPr>
        <w:t>)</w:t>
      </w:r>
      <w:r>
        <w:rPr>
          <w:rFonts w:hint="eastAsia"/>
          <w:sz w:val="21"/>
          <w:szCs w:val="21"/>
        </w:rPr>
        <w:t>麦区、西北春</w:t>
      </w:r>
      <w:r>
        <w:rPr>
          <w:sz w:val="21"/>
          <w:szCs w:val="21"/>
        </w:rPr>
        <w:t>(</w:t>
      </w:r>
      <w:r>
        <w:rPr>
          <w:rFonts w:hint="eastAsia"/>
          <w:sz w:val="21"/>
          <w:szCs w:val="21"/>
        </w:rPr>
        <w:t>播</w:t>
      </w:r>
      <w:r>
        <w:rPr>
          <w:sz w:val="21"/>
          <w:szCs w:val="21"/>
        </w:rPr>
        <w:t>)</w:t>
      </w:r>
      <w:r>
        <w:rPr>
          <w:rFonts w:hint="eastAsia"/>
          <w:sz w:val="21"/>
          <w:szCs w:val="21"/>
        </w:rPr>
        <w:t>麦区、新疆冬春兼播麦区和青藏春冬兼播麦区。</w:t>
      </w:r>
      <w:r>
        <w:rPr>
          <w:rFonts w:hint="eastAsia" w:ascii="Times New Roman" w:hAnsi="Times New Roman" w:eastAsiaTheme="minorEastAsia"/>
          <w:kern w:val="2"/>
          <w:sz w:val="21"/>
          <w:szCs w:val="21"/>
        </w:rPr>
        <w:t>小麦是我国三大主粮之一，种植制度以一年一熟为主，主要分布在河南、山东、安徽等多个省份，常年种植面积在23380千公顷以上。近年来，我国小麦产量稳步增长，2021年产量达13694.4万吨。为了减少小麦在</w:t>
      </w:r>
      <w:r>
        <w:rPr>
          <w:rFonts w:ascii="Times New Roman" w:hAnsi="Times New Roman" w:eastAsiaTheme="minorEastAsia"/>
          <w:kern w:val="2"/>
          <w:sz w:val="21"/>
          <w:szCs w:val="21"/>
        </w:rPr>
        <w:t>生产、储存、运输、加工等</w:t>
      </w:r>
      <w:r>
        <w:rPr>
          <w:rFonts w:hint="eastAsia" w:ascii="Times New Roman" w:hAnsi="Times New Roman" w:eastAsiaTheme="minorEastAsia"/>
          <w:kern w:val="2"/>
          <w:sz w:val="21"/>
          <w:szCs w:val="21"/>
        </w:rPr>
        <w:t>关键环节的</w:t>
      </w:r>
      <w:r>
        <w:rPr>
          <w:rFonts w:ascii="Times New Roman" w:hAnsi="Times New Roman" w:eastAsiaTheme="minorEastAsia"/>
          <w:kern w:val="2"/>
          <w:sz w:val="21"/>
          <w:szCs w:val="21"/>
        </w:rPr>
        <w:t>粮食损</w:t>
      </w:r>
      <w:r>
        <w:rPr>
          <w:rFonts w:hint="eastAsia" w:ascii="Times New Roman" w:hAnsi="Times New Roman" w:eastAsiaTheme="minorEastAsia"/>
          <w:kern w:val="2"/>
          <w:sz w:val="21"/>
          <w:szCs w:val="21"/>
        </w:rPr>
        <w:t>耗，制定了本文小麦减损技术标准。</w:t>
      </w:r>
    </w:p>
    <w:p w14:paraId="2CEC1A19">
      <w:pPr>
        <w:pStyle w:val="28"/>
        <w:tabs>
          <w:tab w:val="center" w:pos="4887"/>
          <w:tab w:val="clear" w:pos="4201"/>
          <w:tab w:val="clear" w:pos="9298"/>
        </w:tabs>
        <w:rPr>
          <w:rFonts w:ascii="Times New Roman"/>
          <w:color w:val="000000" w:themeColor="text1"/>
          <w14:textFill>
            <w14:solidFill>
              <w14:schemeClr w14:val="tx1"/>
            </w14:solidFill>
          </w14:textFill>
        </w:rPr>
      </w:pPr>
    </w:p>
    <w:p w14:paraId="78B1EB73">
      <w:pPr>
        <w:pStyle w:val="28"/>
        <w:tabs>
          <w:tab w:val="center" w:pos="4887"/>
          <w:tab w:val="clear" w:pos="4201"/>
          <w:tab w:val="clear" w:pos="9298"/>
        </w:tabs>
        <w:rPr>
          <w:rFonts w:ascii="Times New Roman"/>
          <w:color w:val="000000" w:themeColor="text1"/>
          <w14:textFill>
            <w14:solidFill>
              <w14:schemeClr w14:val="tx1"/>
            </w14:solidFill>
          </w14:textFill>
        </w:rPr>
      </w:pPr>
    </w:p>
    <w:p w14:paraId="5CA287B9">
      <w:pPr>
        <w:pStyle w:val="28"/>
        <w:tabs>
          <w:tab w:val="center" w:pos="4887"/>
          <w:tab w:val="clear" w:pos="4201"/>
          <w:tab w:val="clear" w:pos="9298"/>
        </w:tabs>
        <w:rPr>
          <w:rFonts w:ascii="Times New Roman"/>
          <w:color w:val="000000" w:themeColor="text1"/>
          <w14:textFill>
            <w14:solidFill>
              <w14:schemeClr w14:val="tx1"/>
            </w14:solidFill>
          </w14:textFill>
        </w:rPr>
        <w:sectPr>
          <w:pgSz w:w="11906" w:h="16838"/>
          <w:pgMar w:top="1701" w:right="1531" w:bottom="1531" w:left="1531" w:header="1134" w:footer="680" w:gutter="0"/>
          <w:cols w:space="425" w:num="1"/>
          <w:docGrid w:type="lines" w:linePitch="312" w:charSpace="0"/>
        </w:sectPr>
      </w:pPr>
      <w:r>
        <w:rPr>
          <w:rFonts w:ascii="Times New Roman"/>
          <w:color w:val="000000" w:themeColor="text1"/>
          <w14:textFill>
            <w14:solidFill>
              <w14:schemeClr w14:val="tx1"/>
            </w14:solidFill>
          </w14:textFill>
        </w:rPr>
        <w:tab/>
      </w:r>
    </w:p>
    <w:bookmarkEnd w:id="6"/>
    <w:p w14:paraId="623DA23E">
      <w:pPr>
        <w:pStyle w:val="60"/>
        <w:spacing w:before="680" w:after="454"/>
        <w:outlineLvl w:val="9"/>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小麦生产过程减损技术通则</w:t>
      </w:r>
    </w:p>
    <w:p w14:paraId="7185FCC9">
      <w:pPr>
        <w:pStyle w:val="55"/>
        <w:spacing w:before="312" w:after="312"/>
        <w:ind w:left="0" w:firstLine="420" w:firstLineChars="200"/>
        <w:rPr>
          <w:rFonts w:ascii="Times New Roman"/>
          <w:color w:val="000000" w:themeColor="text1"/>
          <w14:textFill>
            <w14:solidFill>
              <w14:schemeClr w14:val="tx1"/>
            </w14:solidFill>
          </w14:textFill>
        </w:rPr>
      </w:pPr>
      <w:bookmarkStart w:id="8" w:name="_Toc467490521"/>
      <w:bookmarkStart w:id="9" w:name="_Toc110269145"/>
      <w:bookmarkStart w:id="10" w:name="_Toc467490522"/>
      <w:r>
        <w:rPr>
          <w:rFonts w:ascii="Times New Roman"/>
          <w:color w:val="000000" w:themeColor="text1"/>
          <w14:textFill>
            <w14:solidFill>
              <w14:schemeClr w14:val="tx1"/>
            </w14:solidFill>
          </w14:textFill>
        </w:rPr>
        <w:t>范围</w:t>
      </w:r>
      <w:bookmarkEnd w:id="8"/>
      <w:bookmarkEnd w:id="9"/>
    </w:p>
    <w:p w14:paraId="3C3FAA2C">
      <w:pPr>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文件</w:t>
      </w:r>
      <w:r>
        <w:rPr>
          <w:color w:val="000000" w:themeColor="text1"/>
          <w:szCs w:val="21"/>
          <w14:textFill>
            <w14:solidFill>
              <w14:schemeClr w14:val="tx1"/>
            </w14:solidFill>
          </w14:textFill>
        </w:rPr>
        <w:t>规定了小麦生产、储存、运输等关键环节粮食损失相关术语和定义、分类及节粮减损基本原则、措施、流程、技术要求。</w:t>
      </w:r>
    </w:p>
    <w:p w14:paraId="71703D43">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本文件适用于小麦的减损生产过程，包括小麦产业链前端各环节。</w:t>
      </w:r>
    </w:p>
    <w:p w14:paraId="79EB2707">
      <w:pPr>
        <w:pStyle w:val="55"/>
        <w:spacing w:before="312" w:after="312"/>
        <w:ind w:left="0" w:firstLine="420" w:firstLineChars="200"/>
        <w:rPr>
          <w:rFonts w:ascii="Times New Roman"/>
          <w:color w:val="000000" w:themeColor="text1"/>
          <w14:textFill>
            <w14:solidFill>
              <w14:schemeClr w14:val="tx1"/>
            </w14:solidFill>
          </w14:textFill>
        </w:rPr>
      </w:pPr>
      <w:bookmarkStart w:id="11" w:name="_Toc110269146"/>
      <w:r>
        <w:rPr>
          <w:rFonts w:ascii="Times New Roman"/>
          <w:color w:val="000000" w:themeColor="text1"/>
          <w14:textFill>
            <w14:solidFill>
              <w14:schemeClr w14:val="tx1"/>
            </w14:solidFill>
          </w14:textFill>
        </w:rPr>
        <w:t>规范性引用文件</w:t>
      </w:r>
      <w:bookmarkEnd w:id="11"/>
    </w:p>
    <w:p w14:paraId="4D4522C4">
      <w:pPr>
        <w:pStyle w:val="28"/>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0539058">
      <w:pPr>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GB/T 1351 </w:t>
      </w:r>
      <w:r>
        <w:rPr>
          <w:rFonts w:hint="eastAsia"/>
          <w:color w:val="000000" w:themeColor="text1"/>
          <w:szCs w:val="21"/>
          <w14:textFill>
            <w14:solidFill>
              <w14:schemeClr w14:val="tx1"/>
            </w14:solidFill>
          </w14:textFill>
        </w:rPr>
        <w:t>小麦</w:t>
      </w:r>
    </w:p>
    <w:p w14:paraId="50D56353">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GB 15618  土壤环境质量标准</w:t>
      </w:r>
    </w:p>
    <w:p w14:paraId="25503B99">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GB 7414-7415  主要农作物种子包装及贮藏</w:t>
      </w:r>
    </w:p>
    <w:p w14:paraId="120B2B43">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GB 4285  农药安全使用标准</w:t>
      </w:r>
    </w:p>
    <w:p w14:paraId="5187522D">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GB 5084  农田灌溉水质标准</w:t>
      </w:r>
    </w:p>
    <w:p w14:paraId="4F6861F6">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GB 13122  食品安全国家标准  谷物加工卫生规范</w:t>
      </w:r>
    </w:p>
    <w:p w14:paraId="7282FD7F">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GB/T 8321  农药合理使用准则</w:t>
      </w:r>
    </w:p>
    <w:p w14:paraId="2643D6E4">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GB/T 29890-2013  粮油储藏技术规范</w:t>
      </w:r>
    </w:p>
    <w:p w14:paraId="1397B615">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w:t>
      </w:r>
      <w:r>
        <w:rPr>
          <w:color w:val="000000" w:themeColor="text1"/>
          <w:szCs w:val="21"/>
          <w14:textFill>
            <w14:solidFill>
              <w14:schemeClr w14:val="tx1"/>
            </w14:solidFill>
          </w14:textFill>
        </w:rPr>
        <w:t>B/T 2</w:t>
      </w:r>
      <w:r>
        <w:rPr>
          <w:rFonts w:hint="eastAsia"/>
          <w:color w:val="000000" w:themeColor="text1"/>
          <w:szCs w:val="21"/>
          <w14:textFill>
            <w14:solidFill>
              <w14:schemeClr w14:val="tx1"/>
            </w14:solidFill>
          </w14:textFill>
        </w:rPr>
        <w:t>0571</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小麦储存品质判定规则</w:t>
      </w:r>
    </w:p>
    <w:p w14:paraId="3E310185">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w:t>
      </w:r>
      <w:r>
        <w:rPr>
          <w:color w:val="000000" w:themeColor="text1"/>
          <w:szCs w:val="21"/>
          <w14:textFill>
            <w14:solidFill>
              <w14:schemeClr w14:val="tx1"/>
            </w14:solidFill>
          </w14:textFill>
        </w:rPr>
        <w:t xml:space="preserve">B </w:t>
      </w:r>
      <w:r>
        <w:rPr>
          <w:rFonts w:hint="eastAsia"/>
          <w:color w:val="000000" w:themeColor="text1"/>
          <w:szCs w:val="21"/>
          <w14:textFill>
            <w14:solidFill>
              <w14:schemeClr w14:val="tx1"/>
            </w14:solidFill>
          </w14:textFill>
        </w:rPr>
        <w:t>2715</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粮食卫生标准</w:t>
      </w:r>
    </w:p>
    <w:p w14:paraId="79142680">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GB/T 30600-2022 高标准农田建设通则</w:t>
      </w:r>
    </w:p>
    <w:p w14:paraId="1515FEE1">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 1212-2008  储量化学药剂管理和使用规范</w:t>
      </w:r>
    </w:p>
    <w:p w14:paraId="07DFB351">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 1202-2002  储粮机械通风技术规程</w:t>
      </w:r>
    </w:p>
    <w:p w14:paraId="2BEED908">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 1213-2008  二氧化碳气调储粮技术规程</w:t>
      </w:r>
    </w:p>
    <w:p w14:paraId="0508E100">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 1217-2016  简易仓囤储粮技术规程</w:t>
      </w:r>
    </w:p>
    <w:p w14:paraId="40AC6F5A">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 1218-2017  中国好粮油  生产质量控制规范</w:t>
      </w:r>
    </w:p>
    <w:p w14:paraId="3238ABEF">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 1220-2020  平房仓横向通风技术规程</w:t>
      </w:r>
    </w:p>
    <w:p w14:paraId="4328BA4E">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LS/T 1221-2020  储粮害虫在线监测技术规程</w:t>
      </w:r>
    </w:p>
    <w:p w14:paraId="0C800AF2">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NY/T 496  肥料合理使用准则  通则</w:t>
      </w:r>
    </w:p>
    <w:p w14:paraId="273099C4">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NY/T 851  小麦产地环境技术条件</w:t>
      </w:r>
    </w:p>
    <w:p w14:paraId="0E87C25B">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NY/T 1105  肥料合理使用准则  氮肥</w:t>
      </w:r>
    </w:p>
    <w:bookmarkEnd w:id="10"/>
    <w:p w14:paraId="0937E1D9">
      <w:pPr>
        <w:pStyle w:val="55"/>
        <w:spacing w:before="312" w:after="312"/>
        <w:ind w:left="0" w:firstLine="420" w:firstLineChars="200"/>
        <w:rPr>
          <w:rFonts w:ascii="Times New Roman"/>
          <w:color w:val="000000" w:themeColor="text1"/>
          <w14:textFill>
            <w14:solidFill>
              <w14:schemeClr w14:val="tx1"/>
            </w14:solidFill>
          </w14:textFill>
        </w:rPr>
      </w:pPr>
      <w:bookmarkStart w:id="12" w:name="_Toc110269147"/>
      <w:bookmarkEnd w:id="12"/>
      <w:bookmarkStart w:id="13" w:name="_Toc110254221"/>
      <w:bookmarkEnd w:id="13"/>
      <w:bookmarkStart w:id="14" w:name="_Toc110254534"/>
      <w:bookmarkEnd w:id="14"/>
      <w:bookmarkStart w:id="15" w:name="_Toc110254226"/>
      <w:bookmarkEnd w:id="15"/>
      <w:bookmarkStart w:id="16" w:name="_Toc110254533"/>
      <w:bookmarkEnd w:id="16"/>
      <w:bookmarkStart w:id="17" w:name="_Toc110269153"/>
      <w:bookmarkEnd w:id="17"/>
      <w:bookmarkStart w:id="18" w:name="_Toc110269152"/>
      <w:bookmarkEnd w:id="18"/>
      <w:bookmarkStart w:id="19" w:name="_Toc110254233"/>
      <w:bookmarkEnd w:id="19"/>
      <w:bookmarkStart w:id="20" w:name="_Toc110269157"/>
      <w:bookmarkEnd w:id="20"/>
      <w:bookmarkStart w:id="21" w:name="_Toc110254538"/>
      <w:bookmarkEnd w:id="21"/>
      <w:bookmarkStart w:id="22" w:name="_Toc110269159"/>
      <w:bookmarkEnd w:id="22"/>
      <w:bookmarkStart w:id="23" w:name="_Toc110254235"/>
      <w:bookmarkEnd w:id="23"/>
      <w:bookmarkStart w:id="24" w:name="_Toc110254225"/>
      <w:bookmarkEnd w:id="24"/>
      <w:bookmarkStart w:id="25" w:name="_Toc110269149"/>
      <w:bookmarkEnd w:id="25"/>
      <w:bookmarkStart w:id="26" w:name="_Toc110269150"/>
      <w:bookmarkEnd w:id="26"/>
      <w:bookmarkStart w:id="27" w:name="_Toc110254532"/>
      <w:bookmarkEnd w:id="27"/>
      <w:bookmarkStart w:id="28" w:name="_Toc110269160"/>
      <w:bookmarkEnd w:id="28"/>
      <w:bookmarkStart w:id="29" w:name="_Toc110254529"/>
      <w:bookmarkEnd w:id="29"/>
      <w:bookmarkStart w:id="30" w:name="_Toc110254531"/>
      <w:bookmarkEnd w:id="30"/>
      <w:bookmarkStart w:id="31" w:name="_Toc110254542"/>
      <w:bookmarkEnd w:id="31"/>
      <w:bookmarkStart w:id="32" w:name="_Toc110254224"/>
      <w:bookmarkEnd w:id="32"/>
      <w:bookmarkStart w:id="33" w:name="_Toc110254223"/>
      <w:bookmarkEnd w:id="33"/>
      <w:bookmarkStart w:id="34" w:name="_Toc110254537"/>
      <w:bookmarkEnd w:id="34"/>
      <w:bookmarkStart w:id="35" w:name="_Toc110254535"/>
      <w:bookmarkEnd w:id="35"/>
      <w:bookmarkStart w:id="36" w:name="_Toc110269156"/>
      <w:bookmarkEnd w:id="36"/>
      <w:bookmarkStart w:id="37" w:name="_Toc110254539"/>
      <w:bookmarkEnd w:id="37"/>
      <w:bookmarkStart w:id="38" w:name="_Toc110254230"/>
      <w:bookmarkEnd w:id="38"/>
      <w:bookmarkStart w:id="39" w:name="_Toc110254228"/>
      <w:bookmarkEnd w:id="39"/>
      <w:bookmarkStart w:id="40" w:name="_Toc110254231"/>
      <w:bookmarkEnd w:id="40"/>
      <w:bookmarkStart w:id="41" w:name="_Toc110254229"/>
      <w:bookmarkEnd w:id="41"/>
      <w:bookmarkStart w:id="42" w:name="_Toc110254536"/>
      <w:bookmarkEnd w:id="42"/>
      <w:bookmarkStart w:id="43" w:name="_Toc110254543"/>
      <w:bookmarkEnd w:id="43"/>
      <w:bookmarkStart w:id="44" w:name="_Toc110254234"/>
      <w:bookmarkEnd w:id="44"/>
      <w:bookmarkStart w:id="45" w:name="_Toc110254541"/>
      <w:bookmarkEnd w:id="45"/>
      <w:bookmarkStart w:id="46" w:name="_Toc110269154"/>
      <w:bookmarkEnd w:id="46"/>
      <w:bookmarkStart w:id="47" w:name="_Toc110254227"/>
      <w:bookmarkEnd w:id="47"/>
      <w:bookmarkStart w:id="48" w:name="_Toc110269161"/>
      <w:bookmarkEnd w:id="48"/>
      <w:bookmarkStart w:id="49" w:name="_Toc110269151"/>
      <w:bookmarkEnd w:id="49"/>
      <w:bookmarkStart w:id="50" w:name="_Toc110269155"/>
      <w:bookmarkEnd w:id="50"/>
      <w:bookmarkStart w:id="51" w:name="_Toc110269162"/>
      <w:r>
        <w:rPr>
          <w:rFonts w:ascii="Times New Roman"/>
          <w:color w:val="000000" w:themeColor="text1"/>
          <w14:textFill>
            <w14:solidFill>
              <w14:schemeClr w14:val="tx1"/>
            </w14:solidFill>
          </w14:textFill>
        </w:rPr>
        <w:t>术语和定义</w:t>
      </w:r>
      <w:bookmarkEnd w:id="51"/>
    </w:p>
    <w:p w14:paraId="3FDFEB91">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GB/T 1351</w:t>
      </w:r>
      <w:r>
        <w:rPr>
          <w:rFonts w:hint="eastAsia" w:ascii="Times New Roman"/>
          <w:color w:val="000000" w:themeColor="text1"/>
          <w14:textFill>
            <w14:solidFill>
              <w14:schemeClr w14:val="tx1"/>
            </w14:solidFill>
          </w14:textFill>
        </w:rPr>
        <w:t>界定的以及</w:t>
      </w:r>
      <w:r>
        <w:rPr>
          <w:rFonts w:ascii="Times New Roman"/>
          <w:color w:val="000000" w:themeColor="text1"/>
          <w14:textFill>
            <w14:solidFill>
              <w14:schemeClr w14:val="tx1"/>
            </w14:solidFill>
          </w14:textFill>
        </w:rPr>
        <w:t>下列术语和定义适用于本文件。</w:t>
      </w:r>
    </w:p>
    <w:p w14:paraId="0C5CFA30">
      <w:pPr>
        <w:pStyle w:val="52"/>
        <w:numPr>
          <w:ilvl w:val="1"/>
          <w:numId w:val="0"/>
        </w:numPr>
        <w:spacing w:before="156" w:after="156"/>
        <w:ind w:firstLine="420" w:firstLineChars="200"/>
      </w:pPr>
      <w:r>
        <w:rPr>
          <w:rFonts w:hint="eastAsia"/>
        </w:rPr>
        <w:t>3</w:t>
      </w:r>
      <w:r>
        <w:t>.1</w:t>
      </w:r>
    </w:p>
    <w:p w14:paraId="65F6B51D">
      <w:pPr>
        <w:pStyle w:val="28"/>
        <w:ind w:firstLine="428"/>
        <w:rPr>
          <w:rFonts w:ascii="Times New Roman"/>
          <w:b/>
          <w:bCs/>
          <w:color w:val="000000" w:themeColor="text1"/>
          <w14:textFill>
            <w14:solidFill>
              <w14:schemeClr w14:val="tx1"/>
            </w14:solidFill>
          </w14:textFill>
        </w:rPr>
      </w:pPr>
      <w:r>
        <w:rPr>
          <w:rFonts w:ascii="Times New Roman"/>
          <w:b/>
          <w:bCs/>
          <w:color w:val="000000" w:themeColor="text1"/>
          <w14:textFill>
            <w14:solidFill>
              <w14:schemeClr w14:val="tx1"/>
            </w14:solidFill>
          </w14:textFill>
        </w:rPr>
        <w:t>小麦</w:t>
      </w:r>
      <w:r>
        <w:rPr>
          <w:rFonts w:hint="eastAsia" w:ascii="Times New Roman"/>
          <w:b/>
          <w:bCs/>
          <w:color w:val="000000" w:themeColor="text1"/>
          <w14:textFill>
            <w14:solidFill>
              <w14:schemeClr w14:val="tx1"/>
            </w14:solidFill>
          </w14:textFill>
        </w:rPr>
        <w:t xml:space="preserve"> </w:t>
      </w:r>
      <w:r>
        <w:rPr>
          <w:rFonts w:ascii="Times New Roman"/>
          <w:b/>
          <w:bCs/>
          <w:color w:val="000000" w:themeColor="text1"/>
          <w14:textFill>
            <w14:solidFill>
              <w14:schemeClr w14:val="tx1"/>
            </w14:solidFill>
          </w14:textFill>
        </w:rPr>
        <w:t>Wheat</w:t>
      </w:r>
    </w:p>
    <w:p w14:paraId="448F03C9">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小麦是中国主要粮食作物之一，种植制度以一年一熟为主。按照播种季节的不同，可将小麦分为春小麦和冬小麦。春小麦是指春季播种，当年夏或秋两季收割的小麦；冬小麦是指当年秋、冬两季播种，第二年夏季收割的小麦。</w:t>
      </w:r>
    </w:p>
    <w:p w14:paraId="3D90FF3A">
      <w:pPr>
        <w:pStyle w:val="52"/>
        <w:numPr>
          <w:ilvl w:val="1"/>
          <w:numId w:val="0"/>
        </w:numPr>
        <w:spacing w:before="156" w:after="156"/>
        <w:ind w:firstLine="420" w:firstLineChars="200"/>
      </w:pPr>
      <w:r>
        <w:rPr>
          <w:rFonts w:hint="eastAsia"/>
        </w:rPr>
        <w:t>3</w:t>
      </w:r>
      <w:r>
        <w:t xml:space="preserve">.2 </w:t>
      </w:r>
    </w:p>
    <w:p w14:paraId="7E9C194D">
      <w:pPr>
        <w:pStyle w:val="28"/>
        <w:ind w:firstLine="428"/>
        <w:rPr>
          <w:rFonts w:ascii="Times New Roman"/>
          <w:b/>
          <w:bCs/>
          <w:color w:val="000000" w:themeColor="text1"/>
          <w14:textFill>
            <w14:solidFill>
              <w14:schemeClr w14:val="tx1"/>
            </w14:solidFill>
          </w14:textFill>
        </w:rPr>
      </w:pPr>
      <w:r>
        <w:rPr>
          <w:rFonts w:ascii="Times New Roman"/>
          <w:b/>
          <w:bCs/>
          <w:color w:val="000000" w:themeColor="text1"/>
          <w14:textFill>
            <w14:solidFill>
              <w14:schemeClr w14:val="tx1"/>
            </w14:solidFill>
          </w14:textFill>
        </w:rPr>
        <w:t>损失</w:t>
      </w:r>
      <w:r>
        <w:rPr>
          <w:rFonts w:hint="eastAsia" w:ascii="Times New Roman"/>
          <w:b/>
          <w:bCs/>
          <w:color w:val="000000" w:themeColor="text1"/>
          <w14:textFill>
            <w14:solidFill>
              <w14:schemeClr w14:val="tx1"/>
            </w14:solidFill>
          </w14:textFill>
        </w:rPr>
        <w:t xml:space="preserve"> </w:t>
      </w:r>
      <w:r>
        <w:rPr>
          <w:rFonts w:ascii="Times New Roman"/>
          <w:b/>
          <w:bCs/>
          <w:color w:val="000000" w:themeColor="text1"/>
          <w14:textFill>
            <w14:solidFill>
              <w14:schemeClr w14:val="tx1"/>
            </w14:solidFill>
          </w14:textFill>
        </w:rPr>
        <w:t>Loss</w:t>
      </w:r>
    </w:p>
    <w:p w14:paraId="458398E2">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损失是指粮食供应链上因数量损耗、品质下降而引起的可食用粮食数量的减少。</w:t>
      </w:r>
      <w:r>
        <w:rPr>
          <w:rFonts w:hint="eastAsia" w:ascii="Times New Roman"/>
          <w:color w:val="000000" w:themeColor="text1"/>
          <w14:textFill>
            <w14:solidFill>
              <w14:schemeClr w14:val="tx1"/>
            </w14:solidFill>
          </w14:textFill>
        </w:rPr>
        <w:t>损失分为数量型损失和质量型损失。</w:t>
      </w:r>
    </w:p>
    <w:p w14:paraId="648CDDF5">
      <w:pPr>
        <w:widowControl/>
        <w:numPr>
          <w:ilvl w:val="255"/>
          <w:numId w:val="0"/>
        </w:numPr>
        <w:tabs>
          <w:tab w:val="left" w:pos="0"/>
        </w:tabs>
        <w:spacing w:before="156" w:beforeLines="50" w:after="156" w:afterLines="50"/>
        <w:jc w:val="center"/>
        <w:rPr>
          <w:rFonts w:ascii="黑体" w:eastAsia="黑体"/>
          <w:kern w:val="0"/>
          <w:szCs w:val="20"/>
        </w:rPr>
      </w:pPr>
      <w:r>
        <w:rPr>
          <w:rFonts w:hint="eastAsia" w:ascii="黑体" w:eastAsia="黑体"/>
          <w:kern w:val="0"/>
          <w:szCs w:val="20"/>
        </w:rPr>
        <w:t>表</w:t>
      </w:r>
      <w:r>
        <w:rPr>
          <w:rFonts w:ascii="黑体" w:eastAsia="黑体"/>
          <w:kern w:val="0"/>
          <w:szCs w:val="20"/>
        </w:rPr>
        <w:t>1</w:t>
      </w:r>
      <w:r>
        <w:rPr>
          <w:rFonts w:hint="eastAsia" w:ascii="黑体" w:eastAsia="黑体"/>
          <w:kern w:val="0"/>
          <w:szCs w:val="20"/>
        </w:rPr>
        <w:t xml:space="preserve"> </w:t>
      </w:r>
      <w:r>
        <w:rPr>
          <w:rFonts w:hint="eastAsia" w:ascii="黑体" w:hAnsi="黑体" w:eastAsia="黑体"/>
        </w:rPr>
        <w:t>粮食损失依据和分类</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01"/>
        <w:gridCol w:w="1382"/>
        <w:gridCol w:w="6887"/>
      </w:tblGrid>
      <w:tr w14:paraId="607A0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80" w:type="pct"/>
            <w:vAlign w:val="center"/>
          </w:tcPr>
          <w:p w14:paraId="0B2BE144">
            <w:pPr>
              <w:jc w:val="center"/>
              <w:rPr>
                <w:rFonts w:ascii="宋体" w:eastAsiaTheme="minorEastAsia" w:cstheme="minorBidi"/>
                <w:b/>
                <w:bCs/>
                <w:color w:val="000000" w:themeColor="text1"/>
                <w:szCs w:val="21"/>
                <w14:textFill>
                  <w14:solidFill>
                    <w14:schemeClr w14:val="tx1"/>
                  </w14:solidFill>
                </w14:textFill>
              </w:rPr>
            </w:pPr>
            <w:r>
              <w:rPr>
                <w:rFonts w:ascii="宋体" w:eastAsiaTheme="minorEastAsia" w:cstheme="minorBidi"/>
                <w:b/>
                <w:bCs/>
                <w:color w:val="000000" w:themeColor="text1"/>
                <w:szCs w:val="21"/>
                <w14:textFill>
                  <w14:solidFill>
                    <w14:schemeClr w14:val="tx1"/>
                  </w14:solidFill>
                </w14:textFill>
              </w:rPr>
              <w:t>依据</w:t>
            </w:r>
          </w:p>
        </w:tc>
        <w:tc>
          <w:tcPr>
            <w:tcW w:w="4320" w:type="pct"/>
            <w:gridSpan w:val="2"/>
            <w:vAlign w:val="center"/>
          </w:tcPr>
          <w:p w14:paraId="2D6D9857">
            <w:pPr>
              <w:jc w:val="center"/>
              <w:rPr>
                <w:rFonts w:ascii="宋体" w:eastAsiaTheme="minorEastAsia" w:cstheme="minorBidi"/>
                <w:b/>
                <w:bCs/>
                <w:color w:val="000000" w:themeColor="text1"/>
                <w:szCs w:val="21"/>
                <w14:textFill>
                  <w14:solidFill>
                    <w14:schemeClr w14:val="tx1"/>
                  </w14:solidFill>
                </w14:textFill>
              </w:rPr>
            </w:pPr>
            <w:r>
              <w:rPr>
                <w:rFonts w:ascii="宋体" w:eastAsiaTheme="minorEastAsia" w:cstheme="minorBidi"/>
                <w:b/>
                <w:bCs/>
                <w:color w:val="000000" w:themeColor="text1"/>
                <w:szCs w:val="21"/>
                <w14:textFill>
                  <w14:solidFill>
                    <w14:schemeClr w14:val="tx1"/>
                  </w14:solidFill>
                </w14:textFill>
              </w:rPr>
              <w:t>类别</w:t>
            </w:r>
          </w:p>
        </w:tc>
      </w:tr>
      <w:tr w14:paraId="514B2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80" w:type="pct"/>
            <w:vAlign w:val="center"/>
          </w:tcPr>
          <w:p w14:paraId="43C440E5">
            <w:pPr>
              <w:jc w:val="center"/>
              <w:rPr>
                <w:rFonts w:ascii="宋体" w:eastAsiaTheme="minorEastAsia" w:cstheme="minorBidi"/>
                <w:szCs w:val="21"/>
              </w:rPr>
            </w:pPr>
            <w:r>
              <w:rPr>
                <w:rFonts w:ascii="宋体" w:eastAsiaTheme="minorEastAsia" w:cstheme="minorBidi"/>
                <w:szCs w:val="21"/>
              </w:rPr>
              <w:t>成因</w:t>
            </w:r>
          </w:p>
        </w:tc>
        <w:tc>
          <w:tcPr>
            <w:tcW w:w="4320" w:type="pct"/>
            <w:gridSpan w:val="2"/>
            <w:vAlign w:val="center"/>
          </w:tcPr>
          <w:p w14:paraId="5AFA5992">
            <w:pPr>
              <w:jc w:val="left"/>
              <w:rPr>
                <w:rFonts w:ascii="宋体" w:eastAsiaTheme="minorEastAsia" w:cstheme="minorBidi"/>
                <w:szCs w:val="21"/>
              </w:rPr>
            </w:pPr>
            <w:r>
              <w:rPr>
                <w:rFonts w:ascii="宋体" w:eastAsiaTheme="minorEastAsia" w:cstheme="minorBidi"/>
                <w:szCs w:val="21"/>
              </w:rPr>
              <w:t>自然（灾害）损失、机械损失、技术工艺损失、生产特征损失（种植面积和作物品种）、谷物呼吸作用损失、霉变损失、虫鼠害损失、人为因素损失</w:t>
            </w:r>
          </w:p>
        </w:tc>
      </w:tr>
      <w:tr w14:paraId="60280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 w:hRule="atLeast"/>
        </w:trPr>
        <w:tc>
          <w:tcPr>
            <w:tcW w:w="680" w:type="pct"/>
            <w:vMerge w:val="restart"/>
            <w:vAlign w:val="center"/>
          </w:tcPr>
          <w:p w14:paraId="4A591DA1">
            <w:pPr>
              <w:jc w:val="center"/>
              <w:rPr>
                <w:rFonts w:ascii="宋体" w:eastAsiaTheme="minorEastAsia" w:cstheme="minorBidi"/>
                <w:szCs w:val="21"/>
              </w:rPr>
            </w:pPr>
            <w:r>
              <w:rPr>
                <w:rFonts w:ascii="宋体" w:eastAsiaTheme="minorEastAsia" w:cstheme="minorBidi"/>
                <w:szCs w:val="21"/>
              </w:rPr>
              <w:t>环节</w:t>
            </w:r>
          </w:p>
        </w:tc>
        <w:tc>
          <w:tcPr>
            <w:tcW w:w="722" w:type="pct"/>
            <w:vAlign w:val="center"/>
          </w:tcPr>
          <w:p w14:paraId="57D29383">
            <w:pPr>
              <w:jc w:val="center"/>
              <w:rPr>
                <w:rFonts w:ascii="宋体" w:eastAsiaTheme="minorEastAsia" w:cstheme="minorBidi"/>
                <w:szCs w:val="21"/>
              </w:rPr>
            </w:pPr>
            <w:r>
              <w:rPr>
                <w:rFonts w:ascii="宋体" w:eastAsiaTheme="minorEastAsia" w:cstheme="minorBidi"/>
                <w:szCs w:val="21"/>
              </w:rPr>
              <w:t>种植</w:t>
            </w:r>
          </w:p>
        </w:tc>
        <w:tc>
          <w:tcPr>
            <w:tcW w:w="3598" w:type="pct"/>
            <w:vAlign w:val="center"/>
          </w:tcPr>
          <w:p w14:paraId="4471E341">
            <w:pPr>
              <w:jc w:val="left"/>
              <w:rPr>
                <w:rFonts w:ascii="宋体" w:eastAsiaTheme="minorEastAsia" w:cstheme="minorBidi"/>
                <w:szCs w:val="21"/>
              </w:rPr>
            </w:pPr>
            <w:r>
              <w:rPr>
                <w:rFonts w:ascii="宋体" w:eastAsiaTheme="minorEastAsia" w:cstheme="minorBidi"/>
                <w:szCs w:val="21"/>
              </w:rPr>
              <w:t>自然（灾害）损失、生产特征损失、</w:t>
            </w:r>
            <w:r>
              <w:rPr>
                <w:rFonts w:ascii="宋体" w:eastAsiaTheme="minorEastAsia" w:cstheme="minorBidi"/>
                <w:color w:val="000000"/>
                <w:szCs w:val="21"/>
                <w:u w:color="000000"/>
              </w:rPr>
              <w:t>重金属污染损失、农药残留损失</w:t>
            </w:r>
          </w:p>
        </w:tc>
      </w:tr>
      <w:tr w14:paraId="4E3F1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 w:hRule="atLeast"/>
        </w:trPr>
        <w:tc>
          <w:tcPr>
            <w:tcW w:w="680" w:type="pct"/>
            <w:vMerge w:val="continue"/>
            <w:vAlign w:val="center"/>
          </w:tcPr>
          <w:p w14:paraId="7A831809">
            <w:pPr>
              <w:jc w:val="center"/>
              <w:rPr>
                <w:rFonts w:ascii="宋体" w:eastAsiaTheme="minorEastAsia" w:cstheme="minorBidi"/>
                <w:szCs w:val="21"/>
              </w:rPr>
            </w:pPr>
          </w:p>
        </w:tc>
        <w:tc>
          <w:tcPr>
            <w:tcW w:w="722" w:type="pct"/>
            <w:vAlign w:val="center"/>
          </w:tcPr>
          <w:p w14:paraId="123E09FB">
            <w:pPr>
              <w:jc w:val="center"/>
              <w:rPr>
                <w:rFonts w:ascii="宋体" w:eastAsiaTheme="minorEastAsia" w:cstheme="minorBidi"/>
                <w:szCs w:val="21"/>
              </w:rPr>
            </w:pPr>
            <w:r>
              <w:rPr>
                <w:rFonts w:ascii="宋体" w:eastAsiaTheme="minorEastAsia" w:cstheme="minorBidi"/>
                <w:szCs w:val="21"/>
              </w:rPr>
              <w:t>收获</w:t>
            </w:r>
          </w:p>
        </w:tc>
        <w:tc>
          <w:tcPr>
            <w:tcW w:w="3598" w:type="pct"/>
            <w:vAlign w:val="center"/>
          </w:tcPr>
          <w:p w14:paraId="7111ADA2">
            <w:pPr>
              <w:jc w:val="left"/>
              <w:rPr>
                <w:rFonts w:ascii="宋体" w:eastAsiaTheme="minorEastAsia" w:cstheme="minorBidi"/>
                <w:szCs w:val="21"/>
              </w:rPr>
            </w:pPr>
            <w:r>
              <w:rPr>
                <w:rFonts w:ascii="宋体" w:eastAsiaTheme="minorEastAsia" w:cstheme="minorBidi"/>
                <w:szCs w:val="21"/>
              </w:rPr>
              <w:t>收割落粒损失、未割净损失、放铺损失、未脱净损失、飞溅损失和装袋损失</w:t>
            </w:r>
          </w:p>
        </w:tc>
      </w:tr>
      <w:tr w14:paraId="1CD5E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 w:hRule="atLeast"/>
        </w:trPr>
        <w:tc>
          <w:tcPr>
            <w:tcW w:w="680" w:type="pct"/>
            <w:vMerge w:val="continue"/>
            <w:vAlign w:val="center"/>
          </w:tcPr>
          <w:p w14:paraId="663C30BA">
            <w:pPr>
              <w:jc w:val="center"/>
              <w:rPr>
                <w:rFonts w:ascii="宋体" w:eastAsiaTheme="minorEastAsia" w:cstheme="minorBidi"/>
                <w:szCs w:val="21"/>
              </w:rPr>
            </w:pPr>
          </w:p>
        </w:tc>
        <w:tc>
          <w:tcPr>
            <w:tcW w:w="722" w:type="pct"/>
            <w:vAlign w:val="center"/>
          </w:tcPr>
          <w:p w14:paraId="2E263087">
            <w:pPr>
              <w:jc w:val="center"/>
              <w:rPr>
                <w:rFonts w:ascii="宋体" w:eastAsiaTheme="minorEastAsia" w:cstheme="minorBidi"/>
                <w:szCs w:val="21"/>
              </w:rPr>
            </w:pPr>
            <w:r>
              <w:rPr>
                <w:rFonts w:ascii="宋体" w:eastAsiaTheme="minorEastAsia" w:cstheme="minorBidi"/>
                <w:szCs w:val="21"/>
              </w:rPr>
              <w:t>田场</w:t>
            </w:r>
          </w:p>
        </w:tc>
        <w:tc>
          <w:tcPr>
            <w:tcW w:w="3598" w:type="pct"/>
            <w:vAlign w:val="center"/>
          </w:tcPr>
          <w:p w14:paraId="0A208689">
            <w:pPr>
              <w:jc w:val="left"/>
              <w:rPr>
                <w:rFonts w:ascii="宋体" w:eastAsiaTheme="minorEastAsia" w:cstheme="minorBidi"/>
                <w:szCs w:val="21"/>
              </w:rPr>
            </w:pPr>
            <w:r>
              <w:rPr>
                <w:rFonts w:ascii="宋体" w:eastAsiaTheme="minorEastAsia" w:cstheme="minorBidi"/>
                <w:szCs w:val="21"/>
              </w:rPr>
              <w:t>爆腰损失、谷物后熟损失</w:t>
            </w:r>
          </w:p>
        </w:tc>
      </w:tr>
      <w:tr w14:paraId="4A2A25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 w:hRule="atLeast"/>
        </w:trPr>
        <w:tc>
          <w:tcPr>
            <w:tcW w:w="680" w:type="pct"/>
            <w:vMerge w:val="continue"/>
            <w:vAlign w:val="center"/>
          </w:tcPr>
          <w:p w14:paraId="5422D5EA">
            <w:pPr>
              <w:jc w:val="center"/>
              <w:rPr>
                <w:rFonts w:ascii="宋体" w:eastAsiaTheme="minorEastAsia" w:cstheme="minorBidi"/>
                <w:szCs w:val="21"/>
              </w:rPr>
            </w:pPr>
          </w:p>
        </w:tc>
        <w:tc>
          <w:tcPr>
            <w:tcW w:w="722" w:type="pct"/>
            <w:vAlign w:val="center"/>
          </w:tcPr>
          <w:p w14:paraId="57754879">
            <w:pPr>
              <w:jc w:val="center"/>
              <w:rPr>
                <w:rFonts w:ascii="宋体" w:eastAsiaTheme="minorEastAsia" w:cstheme="minorBidi"/>
                <w:szCs w:val="21"/>
              </w:rPr>
            </w:pPr>
            <w:r>
              <w:rPr>
                <w:rFonts w:ascii="宋体" w:eastAsiaTheme="minorEastAsia" w:cstheme="minorBidi"/>
                <w:szCs w:val="21"/>
              </w:rPr>
              <w:t>干燥</w:t>
            </w:r>
          </w:p>
        </w:tc>
        <w:tc>
          <w:tcPr>
            <w:tcW w:w="3598" w:type="pct"/>
            <w:vAlign w:val="center"/>
          </w:tcPr>
          <w:p w14:paraId="496A3B53">
            <w:pPr>
              <w:jc w:val="left"/>
              <w:rPr>
                <w:rFonts w:ascii="宋体" w:eastAsiaTheme="minorEastAsia" w:cstheme="minorBidi"/>
                <w:szCs w:val="21"/>
              </w:rPr>
            </w:pPr>
            <w:r>
              <w:rPr>
                <w:rFonts w:ascii="宋体" w:eastAsiaTheme="minorEastAsia" w:cstheme="minorBidi"/>
                <w:szCs w:val="21"/>
              </w:rPr>
              <w:t>自然晾晒的毒素超标、雨淋霉变、鸟鼠食用、路面污染损失</w:t>
            </w:r>
          </w:p>
          <w:p w14:paraId="0B72B22D">
            <w:pPr>
              <w:jc w:val="left"/>
              <w:rPr>
                <w:rFonts w:ascii="宋体" w:eastAsiaTheme="minorEastAsia" w:cstheme="minorBidi"/>
                <w:szCs w:val="21"/>
              </w:rPr>
            </w:pPr>
            <w:r>
              <w:rPr>
                <w:rFonts w:ascii="宋体" w:eastAsiaTheme="minorEastAsia" w:cstheme="minorBidi"/>
                <w:szCs w:val="21"/>
              </w:rPr>
              <w:t>机械干燥的热损伤、干燥裂纹、热湿霉变损失</w:t>
            </w:r>
          </w:p>
        </w:tc>
      </w:tr>
      <w:tr w14:paraId="34B5F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 w:hRule="atLeast"/>
        </w:trPr>
        <w:tc>
          <w:tcPr>
            <w:tcW w:w="680" w:type="pct"/>
            <w:vMerge w:val="continue"/>
            <w:vAlign w:val="center"/>
          </w:tcPr>
          <w:p w14:paraId="4DF5AE41">
            <w:pPr>
              <w:jc w:val="center"/>
              <w:rPr>
                <w:rFonts w:ascii="宋体" w:eastAsiaTheme="minorEastAsia" w:cstheme="minorBidi"/>
                <w:szCs w:val="21"/>
              </w:rPr>
            </w:pPr>
          </w:p>
        </w:tc>
        <w:tc>
          <w:tcPr>
            <w:tcW w:w="722" w:type="pct"/>
            <w:vAlign w:val="center"/>
          </w:tcPr>
          <w:p w14:paraId="652AC61B">
            <w:pPr>
              <w:jc w:val="center"/>
              <w:rPr>
                <w:rFonts w:ascii="宋体" w:eastAsiaTheme="minorEastAsia" w:cstheme="minorBidi"/>
                <w:szCs w:val="21"/>
              </w:rPr>
            </w:pPr>
            <w:r>
              <w:rPr>
                <w:rFonts w:ascii="宋体" w:eastAsiaTheme="minorEastAsia" w:cstheme="minorBidi"/>
                <w:szCs w:val="21"/>
              </w:rPr>
              <w:t>收仓</w:t>
            </w:r>
          </w:p>
        </w:tc>
        <w:tc>
          <w:tcPr>
            <w:tcW w:w="3598" w:type="pct"/>
            <w:vAlign w:val="center"/>
          </w:tcPr>
          <w:p w14:paraId="34FEF97D">
            <w:pPr>
              <w:jc w:val="left"/>
              <w:rPr>
                <w:rFonts w:ascii="宋体" w:eastAsiaTheme="minorEastAsia" w:cstheme="minorBidi"/>
                <w:szCs w:val="21"/>
              </w:rPr>
            </w:pPr>
            <w:r>
              <w:rPr>
                <w:rFonts w:ascii="宋体" w:eastAsiaTheme="minorEastAsia" w:cstheme="minorBidi"/>
                <w:szCs w:val="21"/>
              </w:rPr>
              <w:t>运输</w:t>
            </w:r>
            <w:r>
              <w:rPr>
                <w:rFonts w:hint="eastAsia" w:ascii="宋体" w:eastAsiaTheme="minorEastAsia" w:cstheme="minorBidi"/>
                <w:szCs w:val="21"/>
              </w:rPr>
              <w:t>撒漏</w:t>
            </w:r>
            <w:r>
              <w:rPr>
                <w:rFonts w:ascii="宋体" w:eastAsiaTheme="minorEastAsia" w:cstheme="minorBidi"/>
                <w:szCs w:val="21"/>
              </w:rPr>
              <w:t>损失</w:t>
            </w:r>
          </w:p>
        </w:tc>
      </w:tr>
      <w:tr w14:paraId="6341C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 w:hRule="atLeast"/>
        </w:trPr>
        <w:tc>
          <w:tcPr>
            <w:tcW w:w="680" w:type="pct"/>
            <w:vMerge w:val="continue"/>
            <w:vAlign w:val="center"/>
          </w:tcPr>
          <w:p w14:paraId="43EB2AFF">
            <w:pPr>
              <w:jc w:val="center"/>
              <w:rPr>
                <w:rFonts w:ascii="宋体" w:eastAsiaTheme="minorEastAsia" w:cstheme="minorBidi"/>
                <w:szCs w:val="21"/>
              </w:rPr>
            </w:pPr>
          </w:p>
        </w:tc>
        <w:tc>
          <w:tcPr>
            <w:tcW w:w="722" w:type="pct"/>
            <w:vAlign w:val="center"/>
          </w:tcPr>
          <w:p w14:paraId="2FDD443E">
            <w:pPr>
              <w:jc w:val="center"/>
              <w:rPr>
                <w:rFonts w:ascii="宋体" w:eastAsiaTheme="minorEastAsia" w:cstheme="minorBidi"/>
                <w:szCs w:val="21"/>
              </w:rPr>
            </w:pPr>
            <w:r>
              <w:rPr>
                <w:rFonts w:ascii="宋体" w:eastAsiaTheme="minorEastAsia" w:cstheme="minorBidi"/>
                <w:szCs w:val="21"/>
              </w:rPr>
              <w:t>仓储</w:t>
            </w:r>
          </w:p>
        </w:tc>
        <w:tc>
          <w:tcPr>
            <w:tcW w:w="3598" w:type="pct"/>
            <w:vAlign w:val="center"/>
          </w:tcPr>
          <w:p w14:paraId="568FBC90">
            <w:pPr>
              <w:jc w:val="left"/>
              <w:rPr>
                <w:rFonts w:ascii="宋体" w:eastAsiaTheme="minorEastAsia" w:cstheme="minorBidi"/>
                <w:szCs w:val="21"/>
              </w:rPr>
            </w:pPr>
            <w:r>
              <w:rPr>
                <w:rFonts w:ascii="宋体" w:eastAsiaTheme="minorEastAsia" w:cstheme="minorBidi"/>
                <w:szCs w:val="21"/>
              </w:rPr>
              <w:t>虫鼠害损失、真菌污染损失、仓储环境损失、粮食陈化损失</w:t>
            </w:r>
          </w:p>
        </w:tc>
      </w:tr>
      <w:tr w14:paraId="63717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1" w:hRule="atLeast"/>
        </w:trPr>
        <w:tc>
          <w:tcPr>
            <w:tcW w:w="680" w:type="pct"/>
            <w:vMerge w:val="restart"/>
            <w:vAlign w:val="center"/>
          </w:tcPr>
          <w:p w14:paraId="6DD9A174">
            <w:pPr>
              <w:jc w:val="center"/>
              <w:rPr>
                <w:rFonts w:ascii="宋体" w:eastAsiaTheme="minorEastAsia" w:cstheme="minorBidi"/>
                <w:szCs w:val="21"/>
              </w:rPr>
            </w:pPr>
            <w:r>
              <w:rPr>
                <w:rFonts w:ascii="宋体" w:eastAsiaTheme="minorEastAsia" w:cstheme="minorBidi"/>
                <w:szCs w:val="21"/>
              </w:rPr>
              <w:t>量纲</w:t>
            </w:r>
          </w:p>
        </w:tc>
        <w:tc>
          <w:tcPr>
            <w:tcW w:w="722" w:type="pct"/>
            <w:vAlign w:val="center"/>
          </w:tcPr>
          <w:p w14:paraId="5113E231">
            <w:pPr>
              <w:jc w:val="center"/>
              <w:rPr>
                <w:rFonts w:ascii="宋体" w:eastAsiaTheme="minorEastAsia" w:cstheme="minorBidi"/>
                <w:szCs w:val="21"/>
              </w:rPr>
            </w:pPr>
            <w:r>
              <w:rPr>
                <w:rFonts w:ascii="宋体" w:eastAsiaTheme="minorEastAsia" w:cstheme="minorBidi"/>
                <w:szCs w:val="21"/>
              </w:rPr>
              <w:t>数量损失</w:t>
            </w:r>
          </w:p>
        </w:tc>
        <w:tc>
          <w:tcPr>
            <w:tcW w:w="3598" w:type="pct"/>
            <w:vAlign w:val="center"/>
          </w:tcPr>
          <w:p w14:paraId="02D93FCE">
            <w:pPr>
              <w:jc w:val="left"/>
              <w:rPr>
                <w:rFonts w:ascii="宋体" w:eastAsiaTheme="minorEastAsia" w:cstheme="minorBidi"/>
                <w:szCs w:val="21"/>
              </w:rPr>
            </w:pPr>
            <w:r>
              <w:rPr>
                <w:rFonts w:ascii="宋体" w:eastAsiaTheme="minorEastAsia" w:cstheme="minorBidi"/>
                <w:szCs w:val="21"/>
              </w:rPr>
              <w:t>单个谷粒的重量减少、单个谷粒的体积减少、谷粒的数量减少</w:t>
            </w:r>
          </w:p>
        </w:tc>
      </w:tr>
      <w:tr w14:paraId="30DF1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 w:hRule="atLeast"/>
        </w:trPr>
        <w:tc>
          <w:tcPr>
            <w:tcW w:w="680" w:type="pct"/>
            <w:vMerge w:val="continue"/>
            <w:vAlign w:val="center"/>
          </w:tcPr>
          <w:p w14:paraId="132FA9EC">
            <w:pPr>
              <w:jc w:val="center"/>
              <w:rPr>
                <w:rFonts w:ascii="宋体" w:eastAsiaTheme="minorEastAsia" w:cstheme="minorBidi"/>
                <w:szCs w:val="21"/>
              </w:rPr>
            </w:pPr>
          </w:p>
        </w:tc>
        <w:tc>
          <w:tcPr>
            <w:tcW w:w="722" w:type="pct"/>
            <w:vAlign w:val="center"/>
          </w:tcPr>
          <w:p w14:paraId="26966CC5">
            <w:pPr>
              <w:jc w:val="center"/>
              <w:rPr>
                <w:rFonts w:ascii="宋体" w:eastAsiaTheme="minorEastAsia" w:cstheme="minorBidi"/>
                <w:szCs w:val="21"/>
              </w:rPr>
            </w:pPr>
            <w:r>
              <w:rPr>
                <w:rFonts w:ascii="宋体" w:eastAsiaTheme="minorEastAsia" w:cstheme="minorBidi"/>
                <w:szCs w:val="21"/>
              </w:rPr>
              <w:t>品质损失</w:t>
            </w:r>
          </w:p>
        </w:tc>
        <w:tc>
          <w:tcPr>
            <w:tcW w:w="3598" w:type="pct"/>
            <w:vAlign w:val="center"/>
          </w:tcPr>
          <w:p w14:paraId="73D79795">
            <w:pPr>
              <w:jc w:val="left"/>
              <w:rPr>
                <w:rFonts w:ascii="宋体" w:eastAsiaTheme="minorEastAsia" w:cstheme="minorBidi"/>
                <w:szCs w:val="21"/>
              </w:rPr>
            </w:pPr>
            <w:r>
              <w:rPr>
                <w:rFonts w:ascii="宋体" w:eastAsiaTheme="minorEastAsia" w:cstheme="minorBidi"/>
                <w:szCs w:val="21"/>
              </w:rPr>
              <w:t>外观品质损失、营养品质损失、食用品质损失、卫生品质损失</w:t>
            </w:r>
          </w:p>
        </w:tc>
      </w:tr>
      <w:tr w14:paraId="11B9F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 w:hRule="atLeast"/>
        </w:trPr>
        <w:tc>
          <w:tcPr>
            <w:tcW w:w="680" w:type="pct"/>
            <w:vMerge w:val="restart"/>
            <w:vAlign w:val="center"/>
          </w:tcPr>
          <w:p w14:paraId="7A6A412E">
            <w:pPr>
              <w:jc w:val="center"/>
              <w:rPr>
                <w:rFonts w:ascii="宋体" w:eastAsiaTheme="minorEastAsia" w:cstheme="minorBidi"/>
                <w:szCs w:val="21"/>
              </w:rPr>
            </w:pPr>
            <w:r>
              <w:rPr>
                <w:rFonts w:ascii="宋体" w:eastAsiaTheme="minorEastAsia" w:cstheme="minorBidi"/>
                <w:szCs w:val="21"/>
              </w:rPr>
              <w:t>可观性</w:t>
            </w:r>
          </w:p>
        </w:tc>
        <w:tc>
          <w:tcPr>
            <w:tcW w:w="722" w:type="pct"/>
            <w:vAlign w:val="center"/>
          </w:tcPr>
          <w:p w14:paraId="59536A29">
            <w:pPr>
              <w:jc w:val="center"/>
              <w:rPr>
                <w:rFonts w:ascii="宋体" w:eastAsiaTheme="minorEastAsia" w:cstheme="minorBidi"/>
                <w:szCs w:val="21"/>
              </w:rPr>
            </w:pPr>
            <w:r>
              <w:rPr>
                <w:rFonts w:ascii="宋体" w:eastAsiaTheme="minorEastAsia" w:cstheme="minorBidi"/>
                <w:szCs w:val="21"/>
              </w:rPr>
              <w:t>有形损失</w:t>
            </w:r>
          </w:p>
        </w:tc>
        <w:tc>
          <w:tcPr>
            <w:tcW w:w="3598" w:type="pct"/>
            <w:vAlign w:val="center"/>
          </w:tcPr>
          <w:p w14:paraId="701C88D3">
            <w:pPr>
              <w:jc w:val="left"/>
              <w:rPr>
                <w:rFonts w:ascii="宋体" w:eastAsiaTheme="minorEastAsia" w:cstheme="minorBidi"/>
                <w:szCs w:val="21"/>
              </w:rPr>
            </w:pPr>
            <w:r>
              <w:rPr>
                <w:rFonts w:ascii="宋体" w:eastAsiaTheme="minorEastAsia" w:cstheme="minorBidi"/>
                <w:szCs w:val="21"/>
              </w:rPr>
              <w:t>粮食由于技术、管理和市场需求等因素没有充分得到利用而导致的可见损失</w:t>
            </w:r>
          </w:p>
        </w:tc>
      </w:tr>
      <w:tr w14:paraId="63CE0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 w:hRule="atLeast"/>
        </w:trPr>
        <w:tc>
          <w:tcPr>
            <w:tcW w:w="680" w:type="pct"/>
            <w:vMerge w:val="continue"/>
            <w:vAlign w:val="center"/>
          </w:tcPr>
          <w:p w14:paraId="253918D4">
            <w:pPr>
              <w:jc w:val="center"/>
              <w:rPr>
                <w:rFonts w:ascii="宋体" w:eastAsiaTheme="minorEastAsia" w:cstheme="minorBidi"/>
                <w:szCs w:val="21"/>
              </w:rPr>
            </w:pPr>
          </w:p>
        </w:tc>
        <w:tc>
          <w:tcPr>
            <w:tcW w:w="722" w:type="pct"/>
            <w:vAlign w:val="center"/>
          </w:tcPr>
          <w:p w14:paraId="1A7A34EA">
            <w:pPr>
              <w:jc w:val="center"/>
              <w:rPr>
                <w:rFonts w:ascii="宋体" w:eastAsiaTheme="minorEastAsia" w:cstheme="minorBidi"/>
                <w:szCs w:val="21"/>
              </w:rPr>
            </w:pPr>
            <w:r>
              <w:rPr>
                <w:rFonts w:ascii="宋体" w:eastAsiaTheme="minorEastAsia" w:cstheme="minorBidi"/>
                <w:szCs w:val="21"/>
              </w:rPr>
              <w:t>无形损失</w:t>
            </w:r>
          </w:p>
        </w:tc>
        <w:tc>
          <w:tcPr>
            <w:tcW w:w="3598" w:type="pct"/>
            <w:vAlign w:val="center"/>
          </w:tcPr>
          <w:p w14:paraId="5D4CBBD0">
            <w:pPr>
              <w:jc w:val="left"/>
              <w:rPr>
                <w:rFonts w:ascii="宋体" w:eastAsiaTheme="minorEastAsia" w:cstheme="minorBidi"/>
                <w:szCs w:val="21"/>
              </w:rPr>
            </w:pPr>
            <w:r>
              <w:rPr>
                <w:rFonts w:ascii="宋体" w:eastAsiaTheme="minorEastAsia" w:cstheme="minorBidi"/>
                <w:szCs w:val="21"/>
              </w:rPr>
              <w:t>新陈代谢、生物损害、机械作业等导致的营养成分的减少</w:t>
            </w:r>
            <w:r>
              <w:rPr>
                <w:rFonts w:hint="eastAsia" w:ascii="宋体" w:eastAsiaTheme="minorEastAsia" w:cstheme="minorBidi"/>
                <w:szCs w:val="21"/>
              </w:rPr>
              <w:t>或改变</w:t>
            </w:r>
          </w:p>
        </w:tc>
      </w:tr>
      <w:tr w14:paraId="006C2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 w:hRule="atLeast"/>
        </w:trPr>
        <w:tc>
          <w:tcPr>
            <w:tcW w:w="680" w:type="pct"/>
            <w:vMerge w:val="restart"/>
            <w:vAlign w:val="center"/>
          </w:tcPr>
          <w:p w14:paraId="72E31A06">
            <w:pPr>
              <w:jc w:val="center"/>
              <w:rPr>
                <w:rFonts w:ascii="宋体" w:eastAsiaTheme="minorEastAsia" w:cstheme="minorBidi"/>
                <w:szCs w:val="21"/>
              </w:rPr>
            </w:pPr>
            <w:r>
              <w:rPr>
                <w:rFonts w:ascii="宋体" w:eastAsiaTheme="minorEastAsia" w:cstheme="minorBidi"/>
                <w:szCs w:val="21"/>
              </w:rPr>
              <w:t>相对性</w:t>
            </w:r>
          </w:p>
        </w:tc>
        <w:tc>
          <w:tcPr>
            <w:tcW w:w="722" w:type="pct"/>
            <w:vAlign w:val="center"/>
          </w:tcPr>
          <w:p w14:paraId="0D6A3A57">
            <w:pPr>
              <w:jc w:val="center"/>
              <w:rPr>
                <w:rFonts w:ascii="宋体" w:eastAsiaTheme="minorEastAsia" w:cstheme="minorBidi"/>
                <w:szCs w:val="21"/>
              </w:rPr>
            </w:pPr>
            <w:r>
              <w:rPr>
                <w:rFonts w:ascii="宋体" w:eastAsiaTheme="minorEastAsia" w:cstheme="minorBidi"/>
                <w:szCs w:val="21"/>
              </w:rPr>
              <w:t>绝对损失</w:t>
            </w:r>
          </w:p>
        </w:tc>
        <w:tc>
          <w:tcPr>
            <w:tcW w:w="3598" w:type="pct"/>
            <w:vAlign w:val="center"/>
          </w:tcPr>
          <w:p w14:paraId="3F4CCD49">
            <w:pPr>
              <w:jc w:val="left"/>
              <w:rPr>
                <w:rFonts w:ascii="宋体" w:eastAsiaTheme="minorEastAsia" w:cstheme="minorBidi"/>
                <w:szCs w:val="21"/>
              </w:rPr>
            </w:pPr>
            <w:r>
              <w:rPr>
                <w:rFonts w:ascii="宋体" w:eastAsiaTheme="minorEastAsia" w:cstheme="minorBidi"/>
                <w:szCs w:val="21"/>
              </w:rPr>
              <w:t>因技术、管理、环境等造成的粮食绝对数量减少</w:t>
            </w:r>
          </w:p>
        </w:tc>
      </w:tr>
      <w:tr w14:paraId="2CF29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 w:hRule="atLeast"/>
        </w:trPr>
        <w:tc>
          <w:tcPr>
            <w:tcW w:w="680" w:type="pct"/>
            <w:vMerge w:val="continue"/>
            <w:vAlign w:val="center"/>
          </w:tcPr>
          <w:p w14:paraId="5116B7FC">
            <w:pPr>
              <w:jc w:val="center"/>
              <w:rPr>
                <w:rFonts w:ascii="宋体" w:eastAsiaTheme="minorEastAsia" w:cstheme="minorBidi"/>
                <w:szCs w:val="21"/>
              </w:rPr>
            </w:pPr>
          </w:p>
        </w:tc>
        <w:tc>
          <w:tcPr>
            <w:tcW w:w="722" w:type="pct"/>
            <w:vAlign w:val="center"/>
          </w:tcPr>
          <w:p w14:paraId="6F9D2A24">
            <w:pPr>
              <w:jc w:val="center"/>
              <w:rPr>
                <w:rFonts w:ascii="宋体" w:eastAsiaTheme="minorEastAsia" w:cstheme="minorBidi"/>
                <w:szCs w:val="21"/>
              </w:rPr>
            </w:pPr>
            <w:r>
              <w:rPr>
                <w:rFonts w:ascii="宋体" w:eastAsiaTheme="minorEastAsia" w:cstheme="minorBidi"/>
                <w:szCs w:val="21"/>
              </w:rPr>
              <w:t>相对损失</w:t>
            </w:r>
          </w:p>
        </w:tc>
        <w:tc>
          <w:tcPr>
            <w:tcW w:w="3598" w:type="pct"/>
            <w:vAlign w:val="center"/>
          </w:tcPr>
          <w:p w14:paraId="7B66AC72">
            <w:pPr>
              <w:jc w:val="left"/>
              <w:rPr>
                <w:rFonts w:ascii="宋体" w:eastAsiaTheme="minorEastAsia" w:cstheme="minorBidi"/>
                <w:szCs w:val="21"/>
              </w:rPr>
            </w:pPr>
            <w:r>
              <w:rPr>
                <w:rFonts w:ascii="宋体" w:eastAsiaTheme="minorEastAsia" w:cstheme="minorBidi"/>
                <w:szCs w:val="21"/>
              </w:rPr>
              <w:t>技术水平低、消费替代效应和粮食降级使用（饲料）等引起的相对性粮食损耗</w:t>
            </w:r>
          </w:p>
        </w:tc>
      </w:tr>
    </w:tbl>
    <w:p w14:paraId="15CB3DDF">
      <w:pPr>
        <w:pStyle w:val="52"/>
        <w:numPr>
          <w:ilvl w:val="1"/>
          <w:numId w:val="0"/>
        </w:numPr>
        <w:spacing w:before="156" w:after="156"/>
        <w:ind w:firstLine="420" w:firstLineChars="200"/>
      </w:pPr>
      <w:r>
        <w:rPr>
          <w:rFonts w:hint="eastAsia"/>
        </w:rPr>
        <w:t>3.</w:t>
      </w:r>
      <w:r>
        <w:t>3</w:t>
      </w:r>
      <w:r>
        <w:rPr>
          <w:rFonts w:hint="eastAsia"/>
        </w:rPr>
        <w:t xml:space="preserve"> </w:t>
      </w:r>
    </w:p>
    <w:p w14:paraId="31114EFB">
      <w:pPr>
        <w:pStyle w:val="28"/>
        <w:ind w:firstLine="428"/>
        <w:rPr>
          <w:rFonts w:ascii="Times New Roman"/>
          <w:b/>
          <w:bCs/>
          <w:color w:val="000000" w:themeColor="text1"/>
          <w14:textFill>
            <w14:solidFill>
              <w14:schemeClr w14:val="tx1"/>
            </w14:solidFill>
          </w14:textFill>
        </w:rPr>
      </w:pPr>
      <w:r>
        <w:rPr>
          <w:rFonts w:hint="eastAsia" w:ascii="Times New Roman"/>
          <w:b/>
          <w:bCs/>
          <w:color w:val="000000" w:themeColor="text1"/>
          <w14:textFill>
            <w14:solidFill>
              <w14:schemeClr w14:val="tx1"/>
            </w14:solidFill>
          </w14:textFill>
        </w:rPr>
        <w:t xml:space="preserve">气候韧性农业 </w:t>
      </w:r>
      <w:r>
        <w:rPr>
          <w:rFonts w:ascii="Times New Roman"/>
          <w:b/>
          <w:bCs/>
          <w:color w:val="000000" w:themeColor="text1"/>
          <w14:textFill>
            <w14:solidFill>
              <w14:schemeClr w14:val="tx1"/>
            </w14:solidFill>
          </w14:textFill>
        </w:rPr>
        <w:t>Climate Smart Agriculture,CSA</w:t>
      </w:r>
    </w:p>
    <w:p w14:paraId="000FCB27">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在气候变化加剧的背景下，通过可持续地利用现有自然资源，提高农业生产系统长期生产力和农民收入的方法，旨在提高对气候变化暴露度高、脆弱性强的农业生产系统的韧性，即减少气候灾害带来的风险和损失，并且具备迅速恢复到稳定状态的能力。</w:t>
      </w:r>
    </w:p>
    <w:p w14:paraId="78F15415">
      <w:pPr>
        <w:pStyle w:val="55"/>
        <w:spacing w:before="312" w:after="312"/>
        <w:ind w:left="0" w:firstLine="420" w:firstLineChars="20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基本原则</w:t>
      </w:r>
    </w:p>
    <w:p w14:paraId="5D339D51">
      <w:pPr>
        <w:pStyle w:val="52"/>
        <w:numPr>
          <w:ilvl w:val="1"/>
          <w:numId w:val="0"/>
        </w:numPr>
        <w:spacing w:before="156" w:after="156"/>
        <w:ind w:firstLine="420" w:firstLineChars="200"/>
      </w:pPr>
      <w:r>
        <w:t>4</w:t>
      </w:r>
      <w:r>
        <w:rPr>
          <w:rFonts w:hint="eastAsia"/>
        </w:rPr>
        <w:t>.1 问题导向</w:t>
      </w:r>
    </w:p>
    <w:p w14:paraId="20272570">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坚持以问题为导向，针对小麦各个生产环节粮食减损的重点和难点问题，积极探索创新，推进减损措施完善。</w:t>
      </w:r>
    </w:p>
    <w:p w14:paraId="18D3FA94">
      <w:pPr>
        <w:pStyle w:val="52"/>
        <w:numPr>
          <w:ilvl w:val="1"/>
          <w:numId w:val="0"/>
        </w:numPr>
        <w:spacing w:before="156" w:after="156"/>
        <w:ind w:firstLine="420" w:firstLineChars="200"/>
      </w:pPr>
      <w:r>
        <w:t>4</w:t>
      </w:r>
      <w:r>
        <w:rPr>
          <w:rFonts w:hint="eastAsia"/>
        </w:rPr>
        <w:t>.2 系统治理</w:t>
      </w:r>
    </w:p>
    <w:p w14:paraId="1740BEC8">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强调粮食生产过程全链条的减损，既要加强土地和种子等生产源头，也要做好田间管理，更要提升产后加工与利用水平。</w:t>
      </w:r>
    </w:p>
    <w:p w14:paraId="29E3CF48">
      <w:pPr>
        <w:pStyle w:val="52"/>
        <w:numPr>
          <w:ilvl w:val="1"/>
          <w:numId w:val="0"/>
        </w:numPr>
        <w:spacing w:before="156" w:after="156"/>
        <w:ind w:firstLine="420" w:firstLineChars="200"/>
      </w:pPr>
      <w:r>
        <w:t>4</w:t>
      </w:r>
      <w:r>
        <w:rPr>
          <w:rFonts w:hint="eastAsia"/>
        </w:rPr>
        <w:t>.3 多措并举</w:t>
      </w:r>
    </w:p>
    <w:p w14:paraId="2393C1B8">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大力推进节粮减损科技创新，提升农机精细化水平，拓展农机社会化服务能力，促进农机农艺有机融合，切实抓好小麦全链条减损。</w:t>
      </w:r>
    </w:p>
    <w:p w14:paraId="767B6B09">
      <w:pPr>
        <w:pStyle w:val="52"/>
        <w:numPr>
          <w:ilvl w:val="1"/>
          <w:numId w:val="0"/>
        </w:numPr>
        <w:spacing w:before="156" w:after="156"/>
        <w:ind w:firstLine="420" w:firstLineChars="200"/>
      </w:pPr>
      <w:r>
        <w:t>4</w:t>
      </w:r>
      <w:r>
        <w:rPr>
          <w:rFonts w:hint="eastAsia"/>
        </w:rPr>
        <w:t>.4 精准施策</w:t>
      </w:r>
    </w:p>
    <w:p w14:paraId="77C62523">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要因地制宜，分地区、分环节制定技术指导意见和具体操作规范，</w:t>
      </w:r>
      <w:r>
        <w:rPr>
          <w:rFonts w:ascii="Times New Roman"/>
          <w:color w:val="000000" w:themeColor="text1"/>
          <w14:textFill>
            <w14:solidFill>
              <w14:schemeClr w14:val="tx1"/>
            </w14:solidFill>
          </w14:textFill>
        </w:rPr>
        <w:t>精细指导</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精准施策</w:t>
      </w:r>
      <w:r>
        <w:rPr>
          <w:rFonts w:hint="eastAsia" w:ascii="Times New Roman"/>
          <w:color w:val="000000" w:themeColor="text1"/>
          <w14:textFill>
            <w14:solidFill>
              <w14:schemeClr w14:val="tx1"/>
            </w14:solidFill>
          </w14:textFill>
        </w:rPr>
        <w:t>，推进小麦全链条节约减损。</w:t>
      </w:r>
    </w:p>
    <w:p w14:paraId="078BAD13">
      <w:pPr>
        <w:pStyle w:val="52"/>
        <w:numPr>
          <w:ilvl w:val="1"/>
          <w:numId w:val="0"/>
        </w:numPr>
        <w:spacing w:before="156" w:after="156"/>
        <w:ind w:firstLine="420" w:firstLineChars="200"/>
      </w:pPr>
      <w:r>
        <w:t>4</w:t>
      </w:r>
      <w:r>
        <w:rPr>
          <w:rFonts w:hint="eastAsia"/>
        </w:rPr>
        <w:t>.5 科学管理</w:t>
      </w:r>
    </w:p>
    <w:p w14:paraId="147B6109">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进一步加强政策支持，推动形成有利于节粮减损的制度和环境，着力提供更多绿色节粮减损技术和管理模式，借鉴先进国家和地区节粮减损的成功经验。</w:t>
      </w:r>
    </w:p>
    <w:p w14:paraId="5C465369">
      <w:pPr>
        <w:pStyle w:val="52"/>
        <w:numPr>
          <w:ilvl w:val="1"/>
          <w:numId w:val="0"/>
        </w:numPr>
        <w:spacing w:before="156" w:after="156"/>
        <w:ind w:firstLine="420" w:firstLineChars="200"/>
      </w:pPr>
      <w:r>
        <w:t>4</w:t>
      </w:r>
      <w:r>
        <w:rPr>
          <w:rFonts w:hint="eastAsia"/>
        </w:rPr>
        <w:t>.6 多目标协同</w:t>
      </w:r>
    </w:p>
    <w:p w14:paraId="10FAC561">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明确节粮减损目标，实现稳定供应、农业增效、农民增收和绿色发展的多目标统筹协调，切实保障不同农业经营主体的利益。</w:t>
      </w:r>
    </w:p>
    <w:p w14:paraId="7F72D2BB">
      <w:pPr>
        <w:pStyle w:val="55"/>
        <w:spacing w:before="312" w:after="312"/>
        <w:ind w:left="0"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减损流程</w:t>
      </w:r>
    </w:p>
    <w:p w14:paraId="730B4E7C">
      <w:pPr>
        <w:pStyle w:val="52"/>
        <w:numPr>
          <w:ilvl w:val="1"/>
          <w:numId w:val="0"/>
        </w:numPr>
        <w:spacing w:before="156" w:after="156"/>
        <w:ind w:firstLine="420" w:firstLineChars="200"/>
      </w:pPr>
      <w:r>
        <w:t>5</w:t>
      </w:r>
      <w:r>
        <w:rPr>
          <w:rFonts w:hint="eastAsia"/>
        </w:rPr>
        <w:t>.1</w:t>
      </w:r>
      <w:r>
        <w:t xml:space="preserve"> </w:t>
      </w:r>
      <w:r>
        <w:rPr>
          <w:rFonts w:hint="eastAsia"/>
        </w:rPr>
        <w:t>地力提升</w:t>
      </w:r>
    </w:p>
    <w:p w14:paraId="13CEE34F">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5.1</w:t>
      </w:r>
      <w:r>
        <w:rPr>
          <w:rFonts w:hint="eastAsia" w:ascii="黑体" w:hAnsi="黑体" w:eastAsia="黑体"/>
          <w:color w:val="000000" w:themeColor="text1"/>
          <w14:textFill>
            <w14:solidFill>
              <w14:schemeClr w14:val="tx1"/>
            </w14:solidFill>
          </w14:textFill>
        </w:rPr>
        <w:t>.1 耕整土地</w:t>
      </w:r>
    </w:p>
    <w:p w14:paraId="02F315B6">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秋季整地质量达到“深、细、透、平、实”的要求。每</w:t>
      </w:r>
      <w:r>
        <w:rPr>
          <w:rFonts w:ascii="Times New Roman"/>
          <w:color w:val="000000" w:themeColor="text1"/>
          <w14:textFill>
            <w14:solidFill>
              <w14:schemeClr w14:val="tx1"/>
            </w14:solidFill>
          </w14:textFill>
        </w:rPr>
        <w:t xml:space="preserve">2-3年采用深耕机械翻耕1次，耕深≥25cm，再用旋耕犁旋耕2-3遍，再细耙两遍。前茬是玉米的地块，用玉米秸秆还田机粉碎，秸秆长度在≤5cm。 </w:t>
      </w:r>
    </w:p>
    <w:p w14:paraId="42948996">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春</w:t>
      </w:r>
      <w:r>
        <w:rPr>
          <w:rFonts w:hint="eastAsia" w:ascii="Times New Roman"/>
          <w:color w:val="000000" w:themeColor="text1"/>
          <w14:textFill>
            <w14:solidFill>
              <w14:schemeClr w14:val="tx1"/>
            </w14:solidFill>
          </w14:textFill>
        </w:rPr>
        <w:t>小麦在春</w:t>
      </w:r>
      <w:r>
        <w:rPr>
          <w:rFonts w:ascii="Times New Roman"/>
          <w:color w:val="000000" w:themeColor="text1"/>
          <w14:textFill>
            <w14:solidFill>
              <w14:schemeClr w14:val="tx1"/>
            </w14:solidFill>
          </w14:textFill>
        </w:rPr>
        <w:t>季根据冬雪融化情况及时耢地，平整地表、减少坷垃、防风保墒。</w:t>
      </w:r>
    </w:p>
    <w:p w14:paraId="576F0840">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.1.2</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施用基肥</w:t>
      </w:r>
    </w:p>
    <w:p w14:paraId="599C580A">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施用适量有机肥，可根据测土配方施足</w:t>
      </w:r>
      <w:r>
        <w:rPr>
          <w:rFonts w:ascii="Times New Roman"/>
          <w:color w:val="000000" w:themeColor="text1"/>
          <w14:textFill>
            <w14:solidFill>
              <w14:schemeClr w14:val="tx1"/>
            </w14:solidFill>
          </w14:textFill>
        </w:rPr>
        <w:t>氮、磷、钾、</w:t>
      </w:r>
      <w:r>
        <w:rPr>
          <w:rFonts w:hint="eastAsia" w:ascii="Times New Roman"/>
          <w:color w:val="000000" w:themeColor="text1"/>
          <w14:textFill>
            <w14:solidFill>
              <w14:schemeClr w14:val="tx1"/>
            </w14:solidFill>
          </w14:textFill>
        </w:rPr>
        <w:t>复合肥做底肥</w:t>
      </w:r>
      <w:r>
        <w:rPr>
          <w:rFonts w:ascii="Times New Roman"/>
          <w:color w:val="000000" w:themeColor="text1"/>
          <w14:textFill>
            <w14:solidFill>
              <w14:schemeClr w14:val="tx1"/>
            </w14:solidFill>
          </w14:textFill>
        </w:rPr>
        <w:t>。肥料使用符合NY/T</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496的规定。</w:t>
      </w:r>
    </w:p>
    <w:p w14:paraId="5DEA5AD6">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1.</w:t>
      </w:r>
      <w:r>
        <w:rPr>
          <w:rFonts w:ascii="黑体" w:hAnsi="黑体" w:eastAsia="黑体"/>
          <w:color w:val="000000" w:themeColor="text1"/>
          <w14:textFill>
            <w14:solidFill>
              <w14:schemeClr w14:val="tx1"/>
            </w14:solidFill>
          </w14:textFill>
        </w:rPr>
        <w:t xml:space="preserve">3 造足底墒 </w:t>
      </w:r>
    </w:p>
    <w:p w14:paraId="02ABB078">
      <w:pPr>
        <w:pStyle w:val="37"/>
        <w:spacing w:before="0" w:beforeAutospacing="0" w:after="0" w:afterAutospacing="0"/>
        <w:ind w:firstLine="420" w:firstLineChars="200"/>
        <w:jc w:val="both"/>
        <w:rPr>
          <w:rFonts w:ascii="Times New Roman" w:hAnsi="Times New Roman" w:eastAsiaTheme="minorEastAsia"/>
          <w:kern w:val="2"/>
          <w:sz w:val="21"/>
          <w:szCs w:val="21"/>
        </w:rPr>
      </w:pPr>
      <w:r>
        <w:rPr>
          <w:rFonts w:hint="eastAsia" w:ascii="Times New Roman" w:hAnsi="Times New Roman" w:eastAsiaTheme="minorEastAsia"/>
          <w:kern w:val="2"/>
          <w:sz w:val="21"/>
          <w:szCs w:val="21"/>
        </w:rPr>
        <w:t>播前耕层土壤适宜含水量为</w:t>
      </w:r>
      <w:r>
        <w:rPr>
          <w:rFonts w:ascii="Times New Roman" w:hAnsi="Times New Roman" w:eastAsiaTheme="minorEastAsia"/>
          <w:kern w:val="2"/>
          <w:sz w:val="21"/>
          <w:szCs w:val="21"/>
        </w:rPr>
        <w:t>75%-80%，未达到的地块应进行造墒。没有造墒的麦田，在小麦播种后立即浇蒙头水。</w:t>
      </w:r>
    </w:p>
    <w:p w14:paraId="0F9D8E37">
      <w:pPr>
        <w:pStyle w:val="52"/>
        <w:numPr>
          <w:ilvl w:val="1"/>
          <w:numId w:val="0"/>
        </w:numPr>
        <w:spacing w:before="156" w:after="156"/>
        <w:ind w:firstLine="420" w:firstLineChars="200"/>
      </w:pPr>
      <w:r>
        <w:t>5</w:t>
      </w:r>
      <w:r>
        <w:rPr>
          <w:rFonts w:hint="eastAsia"/>
        </w:rPr>
        <w:t>.2</w:t>
      </w:r>
      <w:r>
        <w:t xml:space="preserve"> </w:t>
      </w:r>
      <w:r>
        <w:rPr>
          <w:rFonts w:hint="eastAsia"/>
        </w:rPr>
        <w:t>良种优选</w:t>
      </w:r>
    </w:p>
    <w:p w14:paraId="2A658450">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2.</w:t>
      </w:r>
      <w:r>
        <w:rPr>
          <w:rFonts w:ascii="黑体" w:hAnsi="黑体" w:eastAsia="黑体"/>
          <w:color w:val="000000" w:themeColor="text1"/>
          <w14:textFill>
            <w14:solidFill>
              <w14:schemeClr w14:val="tx1"/>
            </w14:solidFill>
          </w14:textFill>
        </w:rPr>
        <w:t>1 品种</w:t>
      </w:r>
      <w:r>
        <w:rPr>
          <w:rFonts w:hint="eastAsia" w:ascii="黑体" w:hAnsi="黑体" w:eastAsia="黑体"/>
          <w:color w:val="000000" w:themeColor="text1"/>
          <w14:textFill>
            <w14:solidFill>
              <w14:schemeClr w14:val="tx1"/>
            </w14:solidFill>
          </w14:textFill>
        </w:rPr>
        <w:t>优选</w:t>
      </w:r>
    </w:p>
    <w:p w14:paraId="1391C19D">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充分考虑当地气候变化引发的干旱、极寒等极端天气，选择综合抗逆性较强、稳产性较好的审定品种，包装完好且在保质期内。种子质量符合GB 4404.1的要求。</w:t>
      </w:r>
    </w:p>
    <w:p w14:paraId="59BD61A0">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5.2</w:t>
      </w:r>
      <w:r>
        <w:rPr>
          <w:rFonts w:hint="eastAsia" w:ascii="黑体" w:hAnsi="黑体" w:eastAsia="黑体"/>
          <w:color w:val="000000" w:themeColor="text1"/>
          <w14:textFill>
            <w14:solidFill>
              <w14:schemeClr w14:val="tx1"/>
            </w14:solidFill>
          </w14:textFill>
        </w:rPr>
        <w:t>.2</w:t>
      </w:r>
      <w:r>
        <w:rPr>
          <w:rFonts w:ascii="黑体" w:hAnsi="黑体" w:eastAsia="黑体"/>
          <w:color w:val="000000" w:themeColor="text1"/>
          <w14:textFill>
            <w14:solidFill>
              <w14:schemeClr w14:val="tx1"/>
            </w14:solidFill>
          </w14:textFill>
        </w:rPr>
        <w:t xml:space="preserve"> 种子处理</w:t>
      </w:r>
    </w:p>
    <w:p w14:paraId="51571CCD">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 xml:space="preserve">a) </w:t>
      </w:r>
      <w:r>
        <w:rPr>
          <w:rFonts w:hint="eastAsia" w:ascii="Times New Roman"/>
          <w:color w:val="000000" w:themeColor="text1"/>
          <w14:textFill>
            <w14:solidFill>
              <w14:schemeClr w14:val="tx1"/>
            </w14:solidFill>
          </w14:textFill>
        </w:rPr>
        <w:t>播种前选择晴好天气，日晒</w:t>
      </w:r>
      <w:r>
        <w:rPr>
          <w:rFonts w:ascii="Times New Roman"/>
          <w:color w:val="000000" w:themeColor="text1"/>
          <w14:textFill>
            <w14:solidFill>
              <w14:schemeClr w14:val="tx1"/>
            </w14:solidFill>
          </w14:textFill>
        </w:rPr>
        <w:t>3-5d</w:t>
      </w:r>
      <w:r>
        <w:rPr>
          <w:rFonts w:hint="eastAsia" w:ascii="Times New Roman"/>
          <w:color w:val="000000" w:themeColor="text1"/>
          <w14:textFill>
            <w14:solidFill>
              <w14:schemeClr w14:val="tx1"/>
            </w14:solidFill>
          </w14:textFill>
        </w:rPr>
        <w:t>，打破休眠，提高发芽率和发芽势，保证一播全苗。</w:t>
      </w:r>
    </w:p>
    <w:p w14:paraId="15F8D0F9">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 xml:space="preserve">b) </w:t>
      </w:r>
      <w:r>
        <w:rPr>
          <w:rFonts w:hint="eastAsia" w:ascii="Times New Roman"/>
          <w:color w:val="000000" w:themeColor="text1"/>
          <w14:textFill>
            <w14:solidFill>
              <w14:schemeClr w14:val="tx1"/>
            </w14:solidFill>
          </w14:textFill>
        </w:rPr>
        <w:t>种子包衣按</w:t>
      </w:r>
      <w:r>
        <w:rPr>
          <w:rFonts w:ascii="Times New Roman"/>
          <w:color w:val="000000" w:themeColor="text1"/>
          <w14:textFill>
            <w14:solidFill>
              <w14:schemeClr w14:val="tx1"/>
            </w14:solidFill>
          </w14:textFill>
        </w:rPr>
        <w:t>GB/T 15671的规定执行</w:t>
      </w:r>
      <w:r>
        <w:rPr>
          <w:rFonts w:hint="eastAsia" w:ascii="Times New Roman"/>
          <w:color w:val="000000" w:themeColor="text1"/>
          <w14:textFill>
            <w14:solidFill>
              <w14:schemeClr w14:val="tx1"/>
            </w14:solidFill>
          </w14:textFill>
        </w:rPr>
        <w:t>，以提高种子抵御土壤虫害和土传性病害的能力。</w:t>
      </w:r>
    </w:p>
    <w:p w14:paraId="05759489">
      <w:pPr>
        <w:pStyle w:val="52"/>
        <w:numPr>
          <w:ilvl w:val="1"/>
          <w:numId w:val="0"/>
        </w:numPr>
        <w:spacing w:before="156" w:after="156"/>
        <w:ind w:firstLine="420" w:firstLineChars="200"/>
      </w:pPr>
      <w:r>
        <w:t>5</w:t>
      </w:r>
      <w:r>
        <w:rPr>
          <w:rFonts w:hint="eastAsia"/>
        </w:rPr>
        <w:t>.3</w:t>
      </w:r>
      <w:r>
        <w:t xml:space="preserve"> </w:t>
      </w:r>
      <w:r>
        <w:rPr>
          <w:rFonts w:hint="eastAsia"/>
        </w:rPr>
        <w:t>精量播种减损</w:t>
      </w:r>
    </w:p>
    <w:p w14:paraId="0AD00877">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3.1</w:t>
      </w:r>
      <w:r>
        <w:rPr>
          <w:rFonts w:ascii="黑体" w:hAnsi="黑体" w:eastAsia="黑体"/>
          <w:color w:val="000000" w:themeColor="text1"/>
          <w14:textFill>
            <w14:solidFill>
              <w14:schemeClr w14:val="tx1"/>
            </w14:solidFill>
          </w14:textFill>
        </w:rPr>
        <w:t xml:space="preserve"> 适期播种</w:t>
      </w:r>
    </w:p>
    <w:p w14:paraId="69E175A6">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春小麦一般3-4月播种，播种适期为日平均气温8-16℃之间。冬小麦一般10月上中旬播种，一般冬性品种播种适期为日平均气温16-18℃，半冬性品种适期为日平均气温15-16℃，春性品种适期为日平均气温13-15℃。</w:t>
      </w:r>
    </w:p>
    <w:p w14:paraId="096B58E5">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3.</w:t>
      </w:r>
      <w:r>
        <w:rPr>
          <w:rFonts w:ascii="黑体" w:hAnsi="黑体" w:eastAsia="黑体"/>
          <w:color w:val="000000" w:themeColor="text1"/>
          <w14:textFill>
            <w14:solidFill>
              <w14:schemeClr w14:val="tx1"/>
            </w14:solidFill>
          </w14:textFill>
        </w:rPr>
        <w:t>2 合理密度</w:t>
      </w:r>
    </w:p>
    <w:p w14:paraId="763DF8C5">
      <w:pPr>
        <w:pStyle w:val="28"/>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根据选择品种，调整优化群体结构，在保证高产的基础上，增强群体抵御自然灾害的能力。春小麦种每</w:t>
      </w:r>
      <w:r>
        <w:rPr>
          <w:rFonts w:ascii="Times New Roman"/>
          <w:color w:val="000000" w:themeColor="text1"/>
          <w14:textFill>
            <w14:solidFill>
              <w14:schemeClr w14:val="tx1"/>
            </w14:solidFill>
          </w14:textFill>
        </w:rPr>
        <w:t>667m</w:t>
      </w:r>
      <w:r>
        <w:rPr>
          <w:rFonts w:ascii="Times New Roman"/>
          <w:color w:val="000000" w:themeColor="text1"/>
          <w:vertAlign w:val="superscript"/>
          <w14:textFill>
            <w14:solidFill>
              <w14:schemeClr w14:val="tx1"/>
            </w14:solidFill>
          </w14:textFill>
        </w:rPr>
        <w:t>2</w:t>
      </w:r>
      <w:r>
        <w:rPr>
          <w:rFonts w:hint="eastAsia" w:ascii="Times New Roman"/>
          <w:color w:val="000000" w:themeColor="text1"/>
          <w14:textFill>
            <w14:solidFill>
              <w14:schemeClr w14:val="tx1"/>
            </w14:solidFill>
          </w14:textFill>
        </w:rPr>
        <w:t>基本苗</w:t>
      </w:r>
      <w:r>
        <w:rPr>
          <w:rFonts w:ascii="Times New Roman"/>
          <w:color w:val="000000" w:themeColor="text1"/>
          <w14:textFill>
            <w14:solidFill>
              <w14:schemeClr w14:val="tx1"/>
            </w14:solidFill>
          </w14:textFill>
        </w:rPr>
        <w:t>42</w:t>
      </w:r>
      <w:r>
        <w:rPr>
          <w:rFonts w:hint="eastAsia" w:ascii="Times New Roman"/>
          <w:color w:val="000000" w:themeColor="text1"/>
          <w14:textFill>
            <w14:solidFill>
              <w14:schemeClr w14:val="tx1"/>
            </w14:solidFill>
          </w14:textFill>
        </w:rPr>
        <w:t>万株</w:t>
      </w:r>
      <w:r>
        <w:rPr>
          <w:rFonts w:ascii="Times New Roman"/>
          <w:color w:val="000000" w:themeColor="text1"/>
          <w14:textFill>
            <w14:solidFill>
              <w14:schemeClr w14:val="tx1"/>
            </w14:solidFill>
          </w14:textFill>
        </w:rPr>
        <w:t>-46</w:t>
      </w:r>
      <w:r>
        <w:rPr>
          <w:rFonts w:hint="eastAsia" w:ascii="Times New Roman"/>
          <w:color w:val="000000" w:themeColor="text1"/>
          <w14:textFill>
            <w14:solidFill>
              <w14:schemeClr w14:val="tx1"/>
            </w14:solidFill>
          </w14:textFill>
        </w:rPr>
        <w:t>万株，冬小麦每</w:t>
      </w:r>
      <w:r>
        <w:rPr>
          <w:rFonts w:ascii="Times New Roman"/>
          <w:color w:val="000000" w:themeColor="text1"/>
          <w14:textFill>
            <w14:solidFill>
              <w14:schemeClr w14:val="tx1"/>
            </w14:solidFill>
          </w14:textFill>
        </w:rPr>
        <w:t>667m</w:t>
      </w:r>
      <w:r>
        <w:rPr>
          <w:rFonts w:ascii="Times New Roman"/>
          <w:color w:val="000000" w:themeColor="text1"/>
          <w:vertAlign w:val="superscript"/>
          <w14:textFill>
            <w14:solidFill>
              <w14:schemeClr w14:val="tx1"/>
            </w14:solidFill>
          </w14:textFill>
        </w:rPr>
        <w:t>2</w:t>
      </w:r>
      <w:r>
        <w:rPr>
          <w:rFonts w:hint="eastAsia" w:ascii="Times New Roman"/>
          <w:color w:val="000000" w:themeColor="text1"/>
          <w14:textFill>
            <w14:solidFill>
              <w14:schemeClr w14:val="tx1"/>
            </w14:solidFill>
          </w14:textFill>
        </w:rPr>
        <w:t>基本苗</w:t>
      </w:r>
      <w:r>
        <w:rPr>
          <w:rFonts w:ascii="Times New Roman"/>
          <w:color w:val="000000" w:themeColor="text1"/>
          <w14:textFill>
            <w14:solidFill>
              <w14:schemeClr w14:val="tx1"/>
            </w14:solidFill>
          </w14:textFill>
        </w:rPr>
        <w:t>20万</w:t>
      </w:r>
      <w:r>
        <w:rPr>
          <w:rFonts w:hint="eastAsia" w:ascii="Times New Roman"/>
          <w:color w:val="000000" w:themeColor="text1"/>
          <w14:textFill>
            <w14:solidFill>
              <w14:schemeClr w14:val="tx1"/>
            </w14:solidFill>
          </w14:textFill>
        </w:rPr>
        <w:t>株</w:t>
      </w:r>
      <w:r>
        <w:rPr>
          <w:rFonts w:ascii="Times New Roman"/>
          <w:color w:val="000000" w:themeColor="text1"/>
          <w14:textFill>
            <w14:solidFill>
              <w14:schemeClr w14:val="tx1"/>
            </w14:solidFill>
          </w14:textFill>
        </w:rPr>
        <w:t>-25万</w:t>
      </w:r>
      <w:r>
        <w:rPr>
          <w:rFonts w:hint="eastAsia" w:ascii="Times New Roman"/>
          <w:color w:val="000000" w:themeColor="text1"/>
          <w14:textFill>
            <w14:solidFill>
              <w14:schemeClr w14:val="tx1"/>
            </w14:solidFill>
          </w14:textFill>
        </w:rPr>
        <w:t>株；</w:t>
      </w:r>
      <w:r>
        <w:rPr>
          <w:rFonts w:ascii="Times New Roman"/>
          <w:color w:val="000000" w:themeColor="text1"/>
          <w14:textFill>
            <w14:solidFill>
              <w14:schemeClr w14:val="tx1"/>
            </w14:solidFill>
          </w14:textFill>
        </w:rPr>
        <w:t>中穗型品种每667m</w:t>
      </w:r>
      <w:r>
        <w:rPr>
          <w:rFonts w:ascii="Times New Roman"/>
          <w:color w:val="000000" w:themeColor="text1"/>
          <w:vertAlign w:val="superscript"/>
          <w14:textFill>
            <w14:solidFill>
              <w14:schemeClr w14:val="tx1"/>
            </w14:solidFill>
          </w14:textFill>
        </w:rPr>
        <w:t>2</w:t>
      </w:r>
      <w:r>
        <w:rPr>
          <w:rFonts w:hint="eastAsia" w:ascii="Times New Roman"/>
          <w:color w:val="000000" w:themeColor="text1"/>
          <w14:textFill>
            <w14:solidFill>
              <w14:schemeClr w14:val="tx1"/>
            </w14:solidFill>
          </w14:textFill>
        </w:rPr>
        <w:t>基本苗</w:t>
      </w:r>
      <w:r>
        <w:rPr>
          <w:rFonts w:ascii="Times New Roman"/>
          <w:color w:val="000000" w:themeColor="text1"/>
          <w14:textFill>
            <w14:solidFill>
              <w14:schemeClr w14:val="tx1"/>
            </w14:solidFill>
          </w14:textFill>
        </w:rPr>
        <w:t>16万</w:t>
      </w:r>
      <w:r>
        <w:rPr>
          <w:rFonts w:hint="eastAsia" w:ascii="Times New Roman"/>
          <w:color w:val="000000" w:themeColor="text1"/>
          <w14:textFill>
            <w14:solidFill>
              <w14:schemeClr w14:val="tx1"/>
            </w14:solidFill>
          </w14:textFill>
        </w:rPr>
        <w:t>株</w:t>
      </w:r>
      <w:r>
        <w:rPr>
          <w:rFonts w:ascii="Times New Roman"/>
          <w:color w:val="000000" w:themeColor="text1"/>
          <w14:textFill>
            <w14:solidFill>
              <w14:schemeClr w14:val="tx1"/>
            </w14:solidFill>
          </w14:textFill>
        </w:rPr>
        <w:t>-20万</w:t>
      </w:r>
      <w:r>
        <w:rPr>
          <w:rFonts w:hint="eastAsia" w:ascii="Times New Roman"/>
          <w:color w:val="000000" w:themeColor="text1"/>
          <w14:textFill>
            <w14:solidFill>
              <w14:schemeClr w14:val="tx1"/>
            </w14:solidFill>
          </w14:textFill>
        </w:rPr>
        <w:t>株</w:t>
      </w:r>
      <w:r>
        <w:rPr>
          <w:rFonts w:ascii="Times New Roman"/>
          <w:color w:val="000000" w:themeColor="text1"/>
          <w14:textFill>
            <w14:solidFill>
              <w14:schemeClr w14:val="tx1"/>
            </w14:solidFill>
          </w14:textFill>
        </w:rPr>
        <w:t>，多穗型品种每667m</w:t>
      </w:r>
      <w:r>
        <w:rPr>
          <w:rFonts w:ascii="Times New Roman"/>
          <w:color w:val="000000" w:themeColor="text1"/>
          <w:vertAlign w:val="superscript"/>
          <w14:textFill>
            <w14:solidFill>
              <w14:schemeClr w14:val="tx1"/>
            </w14:solidFill>
          </w14:textFill>
        </w:rPr>
        <w:t>2</w:t>
      </w:r>
      <w:r>
        <w:rPr>
          <w:rFonts w:hint="eastAsia" w:ascii="Times New Roman"/>
          <w:color w:val="000000" w:themeColor="text1"/>
          <w14:textFill>
            <w14:solidFill>
              <w14:schemeClr w14:val="tx1"/>
            </w14:solidFill>
          </w14:textFill>
        </w:rPr>
        <w:t>基本苗</w:t>
      </w:r>
      <w:r>
        <w:rPr>
          <w:rFonts w:ascii="Times New Roman"/>
          <w:color w:val="000000" w:themeColor="text1"/>
          <w14:textFill>
            <w14:solidFill>
              <w14:schemeClr w14:val="tx1"/>
            </w14:solidFill>
          </w14:textFill>
        </w:rPr>
        <w:t>12万</w:t>
      </w:r>
      <w:r>
        <w:rPr>
          <w:rFonts w:hint="eastAsia" w:ascii="Times New Roman"/>
          <w:color w:val="000000" w:themeColor="text1"/>
          <w14:textFill>
            <w14:solidFill>
              <w14:schemeClr w14:val="tx1"/>
            </w14:solidFill>
          </w14:textFill>
        </w:rPr>
        <w:t>株</w:t>
      </w:r>
      <w:r>
        <w:rPr>
          <w:rFonts w:ascii="Times New Roman"/>
          <w:color w:val="000000" w:themeColor="text1"/>
          <w14:textFill>
            <w14:solidFill>
              <w14:schemeClr w14:val="tx1"/>
            </w14:solidFill>
          </w14:textFill>
        </w:rPr>
        <w:t>-16万</w:t>
      </w:r>
      <w:r>
        <w:rPr>
          <w:rFonts w:hint="eastAsia" w:ascii="Times New Roman"/>
          <w:color w:val="000000" w:themeColor="text1"/>
          <w14:textFill>
            <w14:solidFill>
              <w14:schemeClr w14:val="tx1"/>
            </w14:solidFill>
          </w14:textFill>
        </w:rPr>
        <w:t>株</w:t>
      </w:r>
      <w:r>
        <w:rPr>
          <w:rFonts w:ascii="Times New Roman"/>
          <w:color w:val="000000" w:themeColor="text1"/>
          <w14:textFill>
            <w14:solidFill>
              <w14:schemeClr w14:val="tx1"/>
            </w14:solidFill>
          </w14:textFill>
        </w:rPr>
        <w:t>。按照公式（1）计算播种量</w:t>
      </w:r>
      <w:r>
        <w:rPr>
          <w:rFonts w:hint="eastAsia" w:ascii="Times New Roman"/>
          <w:color w:val="000000" w:themeColor="text1"/>
          <w14:textFill>
            <w14:solidFill>
              <w14:schemeClr w14:val="tx1"/>
            </w14:solidFill>
          </w14:textFill>
        </w:rPr>
        <w:t>。</w:t>
      </w:r>
    </w:p>
    <w:p w14:paraId="427D8485">
      <w:pPr>
        <w:tabs>
          <w:tab w:val="center" w:pos="4678"/>
          <w:tab w:val="right" w:leader="middleDot" w:pos="9356"/>
        </w:tabs>
        <w:jc w:val="center"/>
        <w:rPr>
          <w:rFonts w:ascii="宋体" w:hAnsi="宋体"/>
        </w:rPr>
      </w:pPr>
      <m:oMath>
        <m:r>
          <m:rPr>
            <m:sty m:val="p"/>
          </m:rPr>
          <w:rPr>
            <w:rFonts w:ascii="Cambria Math" w:hAnsi="Cambria Math"/>
            <w:sz w:val="18"/>
            <w:szCs w:val="18"/>
          </w:rPr>
          <m:t>每</m:t>
        </m:r>
        <m:sSup>
          <m:sSupPr>
            <m:ctrlPr>
              <w:rPr>
                <w:rFonts w:ascii="Cambria Math" w:hAnsi="Cambria Math"/>
                <w:i/>
                <w:sz w:val="18"/>
                <w:szCs w:val="18"/>
              </w:rPr>
            </m:ctrlPr>
          </m:sSupPr>
          <m:e>
            <m:r>
              <m:rPr/>
              <w:rPr>
                <w:rFonts w:ascii="Cambria Math" w:hAnsi="Cambria Math"/>
                <w:sz w:val="18"/>
                <w:szCs w:val="18"/>
              </w:rPr>
              <m:t>667m</m:t>
            </m:r>
            <m:ctrlPr>
              <w:rPr>
                <w:rFonts w:ascii="Cambria Math" w:hAnsi="Cambria Math"/>
                <w:i/>
                <w:sz w:val="18"/>
                <w:szCs w:val="18"/>
              </w:rPr>
            </m:ctrlPr>
          </m:e>
          <m:sup>
            <m:r>
              <m:rPr/>
              <w:rPr>
                <w:rFonts w:ascii="Cambria Math" w:hAnsi="Cambria Math"/>
                <w:sz w:val="18"/>
                <w:szCs w:val="18"/>
              </w:rPr>
              <m:t>2</m:t>
            </m:r>
            <m:ctrlPr>
              <w:rPr>
                <w:rFonts w:ascii="Cambria Math" w:hAnsi="Cambria Math"/>
                <w:i/>
                <w:sz w:val="18"/>
                <w:szCs w:val="18"/>
              </w:rPr>
            </m:ctrlPr>
          </m:sup>
        </m:sSup>
        <m:r>
          <m:rPr>
            <m:sty m:val="p"/>
          </m:rPr>
          <w:rPr>
            <w:rFonts w:ascii="Cambria Math" w:hAnsi="Cambria Math"/>
            <w:sz w:val="18"/>
            <w:szCs w:val="18"/>
          </w:rPr>
          <m:t>播种量（kg）=</m:t>
        </m:r>
        <m:f>
          <m:fPr>
            <m:ctrlPr>
              <w:rPr>
                <w:rFonts w:ascii="Cambria Math" w:hAnsi="Cambria Math"/>
                <w:sz w:val="18"/>
                <w:szCs w:val="18"/>
              </w:rPr>
            </m:ctrlPr>
          </m:fPr>
          <m:num>
            <m:r>
              <m:rPr>
                <m:sty m:val="p"/>
              </m:rPr>
              <w:rPr>
                <w:rFonts w:ascii="Cambria Math" w:hAnsi="Cambria Math"/>
                <w:sz w:val="18"/>
                <w:szCs w:val="18"/>
              </w:rPr>
              <m:t>每</m:t>
            </m:r>
            <m:sSup>
              <m:sSupPr>
                <m:ctrlPr>
                  <w:rPr>
                    <w:rFonts w:ascii="Cambria Math" w:hAnsi="Cambria Math"/>
                    <w:sz w:val="18"/>
                    <w:szCs w:val="18"/>
                  </w:rPr>
                </m:ctrlPr>
              </m:sSupPr>
              <m:e>
                <m:r>
                  <m:rPr>
                    <m:sty m:val="p"/>
                  </m:rPr>
                  <w:rPr>
                    <w:rFonts w:ascii="Cambria Math" w:hAnsi="Cambria Math"/>
                    <w:sz w:val="18"/>
                    <w:szCs w:val="18"/>
                  </w:rPr>
                  <m:t>667m</m:t>
                </m:r>
                <m:ctrlPr>
                  <w:rPr>
                    <w:rFonts w:ascii="Cambria Math" w:hAnsi="Cambria Math"/>
                    <w:sz w:val="18"/>
                    <w:szCs w:val="18"/>
                  </w:rPr>
                </m:ctrlPr>
              </m:e>
              <m:sup>
                <m:r>
                  <m:rPr>
                    <m:sty m:val="p"/>
                  </m:rPr>
                  <w:rPr>
                    <w:rFonts w:ascii="Cambria Math" w:hAnsi="Cambria Math"/>
                    <w:sz w:val="18"/>
                    <w:szCs w:val="18"/>
                  </w:rPr>
                  <m:t>2</m:t>
                </m:r>
                <m:ctrlPr>
                  <w:rPr>
                    <w:rFonts w:ascii="Cambria Math" w:hAnsi="Cambria Math"/>
                    <w:sz w:val="18"/>
                    <w:szCs w:val="18"/>
                  </w:rPr>
                </m:ctrlPr>
              </m:sup>
            </m:sSup>
            <m:r>
              <m:rPr>
                <m:sty m:val="p"/>
              </m:rPr>
              <w:rPr>
                <w:rFonts w:ascii="Cambria Math" w:hAnsi="Cambria Math"/>
                <w:sz w:val="18"/>
                <w:szCs w:val="18"/>
              </w:rPr>
              <m:t>计划基本苗数×千粒重（g）</m:t>
            </m:r>
            <m:ctrlPr>
              <w:rPr>
                <w:rFonts w:ascii="Cambria Math" w:hAnsi="Cambria Math"/>
                <w:sz w:val="18"/>
                <w:szCs w:val="18"/>
              </w:rPr>
            </m:ctrlPr>
          </m:num>
          <m:den>
            <m:r>
              <m:rPr>
                <m:sty m:val="p"/>
              </m:rPr>
              <w:rPr>
                <w:rFonts w:ascii="Cambria Math" w:hAnsi="Cambria Math"/>
                <w:sz w:val="18"/>
                <w:szCs w:val="18"/>
              </w:rPr>
              <m:t>1000×1000×发芽率（%）×出苗率（%）</m:t>
            </m:r>
            <m:ctrlPr>
              <w:rPr>
                <w:rFonts w:ascii="Cambria Math" w:hAnsi="Cambria Math"/>
                <w:sz w:val="18"/>
                <w:szCs w:val="18"/>
              </w:rPr>
            </m:ctrlPr>
          </m:den>
        </m:f>
      </m:oMath>
      <w:r>
        <w:rPr>
          <w:rFonts w:hint="eastAsia" w:hAnsi="Cambria Math"/>
          <w:sz w:val="18"/>
          <w:szCs w:val="18"/>
        </w:rPr>
        <w:t>…………</w:t>
      </w:r>
      <w:r>
        <w:rPr>
          <w:rFonts w:ascii="宋体" w:hAnsi="宋体"/>
        </w:rPr>
        <w:t>(</w:t>
      </w:r>
      <w:r>
        <w:rPr>
          <w:rFonts w:ascii="宋体" w:hAnsi="宋体"/>
        </w:rPr>
        <w:fldChar w:fldCharType="begin"/>
      </w:r>
      <w:r>
        <w:rPr>
          <w:rFonts w:ascii="宋体" w:hAnsi="宋体"/>
        </w:rPr>
        <w:instrText xml:space="preserve"> AUTONUM </w:instrText>
      </w:r>
      <w:r>
        <w:rPr>
          <w:rFonts w:ascii="宋体" w:hAnsi="宋体"/>
        </w:rPr>
        <w:fldChar w:fldCharType="end"/>
      </w:r>
      <w:r>
        <w:rPr>
          <w:rFonts w:ascii="宋体" w:hAnsi="宋体"/>
        </w:rPr>
        <w:t>)</w:t>
      </w:r>
    </w:p>
    <w:p w14:paraId="6451ABF8">
      <w:pPr>
        <w:widowControl/>
        <w:ind w:firstLine="420" w:firstLineChars="200"/>
        <w:jc w:val="left"/>
      </w:pPr>
    </w:p>
    <w:p w14:paraId="2C3F3824">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5.3</w:t>
      </w:r>
      <w:r>
        <w:rPr>
          <w:rFonts w:hint="eastAsia" w:ascii="黑体" w:hAnsi="黑体" w:eastAsia="黑体"/>
          <w:color w:val="000000" w:themeColor="text1"/>
          <w14:textFill>
            <w14:solidFill>
              <w14:schemeClr w14:val="tx1"/>
            </w14:solidFill>
          </w14:textFill>
        </w:rPr>
        <w:t>.3</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宽幅精播</w:t>
      </w:r>
    </w:p>
    <w:p w14:paraId="105977E6">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使用小麦宽幅精播机播种，保证</w:t>
      </w:r>
      <w:r>
        <w:rPr>
          <w:rFonts w:ascii="Times New Roman"/>
          <w:color w:val="000000" w:themeColor="text1"/>
          <w14:textFill>
            <w14:solidFill>
              <w14:schemeClr w14:val="tx1"/>
            </w14:solidFill>
          </w14:textFill>
        </w:rPr>
        <w:t>播种均匀、深浅一致、不漏播、不重播，覆土均匀，播种后适度镇压保墒。</w:t>
      </w:r>
      <w:r>
        <w:rPr>
          <w:rFonts w:hint="eastAsia" w:ascii="Times New Roman"/>
          <w:color w:val="000000" w:themeColor="text1"/>
          <w14:textFill>
            <w14:solidFill>
              <w14:schemeClr w14:val="tx1"/>
            </w14:solidFill>
          </w14:textFill>
        </w:rPr>
        <w:t>通常播幅宽</w:t>
      </w:r>
      <w:r>
        <w:rPr>
          <w:rFonts w:ascii="Times New Roman"/>
          <w:color w:val="000000" w:themeColor="text1"/>
          <w14:textFill>
            <w14:solidFill>
              <w14:schemeClr w14:val="tx1"/>
            </w14:solidFill>
          </w14:textFill>
        </w:rPr>
        <w:t>7cm-8cm，行距25cm-28cm，播种深度3cm-5cm。</w:t>
      </w:r>
    </w:p>
    <w:p w14:paraId="53597C95">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3.</w:t>
      </w:r>
      <w:r>
        <w:rPr>
          <w:rFonts w:ascii="黑体" w:hAnsi="黑体" w:eastAsia="黑体"/>
          <w:color w:val="000000" w:themeColor="text1"/>
          <w14:textFill>
            <w14:solidFill>
              <w14:schemeClr w14:val="tx1"/>
            </w14:solidFill>
          </w14:textFill>
        </w:rPr>
        <w:t xml:space="preserve">4 </w:t>
      </w:r>
      <w:r>
        <w:rPr>
          <w:rFonts w:hint="eastAsia" w:ascii="黑体" w:hAnsi="黑体" w:eastAsia="黑体"/>
          <w:color w:val="000000" w:themeColor="text1"/>
          <w14:textFill>
            <w14:solidFill>
              <w14:schemeClr w14:val="tx1"/>
            </w14:solidFill>
          </w14:textFill>
        </w:rPr>
        <w:t>预留作业道</w:t>
      </w:r>
    </w:p>
    <w:p w14:paraId="2B0D4BA7">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播种时根据自走喷药机的喷幅、轮距及轮胎宽度，堵住播种机两侧排种排肥口各两个，预留出自走喷药机后期追肥和防病的车道。</w:t>
      </w:r>
    </w:p>
    <w:p w14:paraId="381C123F">
      <w:pPr>
        <w:pStyle w:val="52"/>
        <w:numPr>
          <w:ilvl w:val="1"/>
          <w:numId w:val="0"/>
        </w:numPr>
        <w:spacing w:before="156" w:after="156"/>
        <w:ind w:firstLine="420" w:firstLineChars="200"/>
      </w:pPr>
      <w:r>
        <w:t>5</w:t>
      </w:r>
      <w:r>
        <w:rPr>
          <w:rFonts w:hint="eastAsia"/>
        </w:rPr>
        <w:t>.4</w:t>
      </w:r>
      <w:r>
        <w:t xml:space="preserve"> </w:t>
      </w:r>
      <w:r>
        <w:rPr>
          <w:rFonts w:hint="eastAsia"/>
        </w:rPr>
        <w:t>田间管理减损</w:t>
      </w:r>
    </w:p>
    <w:p w14:paraId="27F4C6CA">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4</w:t>
      </w:r>
      <w:r>
        <w:rPr>
          <w:rFonts w:ascii="黑体" w:hAnsi="黑体" w:eastAsia="黑体"/>
          <w:color w:val="000000" w:themeColor="text1"/>
          <w14:textFill>
            <w14:solidFill>
              <w14:schemeClr w14:val="tx1"/>
            </w14:solidFill>
          </w14:textFill>
        </w:rPr>
        <w:t>.</w:t>
      </w:r>
      <w:r>
        <w:rPr>
          <w:rFonts w:hint="eastAsia" w:ascii="黑体" w:hAnsi="黑体" w:eastAsia="黑体"/>
          <w:color w:val="000000" w:themeColor="text1"/>
          <w14:textFill>
            <w14:solidFill>
              <w14:schemeClr w14:val="tx1"/>
            </w14:solidFill>
          </w14:textFill>
        </w:rPr>
        <w:t>1</w:t>
      </w:r>
      <w:r>
        <w:rPr>
          <w:rFonts w:ascii="黑体" w:hAnsi="黑体" w:eastAsia="黑体"/>
          <w:color w:val="000000" w:themeColor="text1"/>
          <w14:textFill>
            <w14:solidFill>
              <w14:schemeClr w14:val="tx1"/>
            </w14:solidFill>
          </w14:textFill>
        </w:rPr>
        <w:t xml:space="preserve"> 查苗补苗</w:t>
      </w:r>
    </w:p>
    <w:p w14:paraId="747B0D4B">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在小麦出苗后，及时查苗、补苗，于缺苗处浇底水，补种催芽的种子。在三叶一心期疏密补稀移栽，达到苗齐苗匀。</w:t>
      </w:r>
    </w:p>
    <w:p w14:paraId="2FB9F540">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5.4.2适时冬灌</w:t>
      </w:r>
    </w:p>
    <w:p w14:paraId="0C026D99">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针对冬小麦，需在11月下旬至12月上旬，日平均气温降</w:t>
      </w:r>
      <w:r>
        <w:rPr>
          <w:rFonts w:ascii="Times New Roman"/>
          <w:color w:val="000000" w:themeColor="text1"/>
          <w14:textFill>
            <w14:solidFill>
              <w14:schemeClr w14:val="tx1"/>
            </w14:solidFill>
          </w14:textFill>
        </w:rPr>
        <w:t>至3℃-5℃</w:t>
      </w:r>
      <w:r>
        <w:rPr>
          <w:rFonts w:hint="eastAsia" w:ascii="Times New Roman"/>
          <w:color w:val="000000" w:themeColor="text1"/>
          <w14:textFill>
            <w14:solidFill>
              <w14:schemeClr w14:val="tx1"/>
            </w14:solidFill>
          </w14:textFill>
        </w:rPr>
        <w:t>时，依据土壤墒情浇透越冬水。</w:t>
      </w:r>
    </w:p>
    <w:p w14:paraId="543335C9">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.4.3镇压划锄</w:t>
      </w:r>
    </w:p>
    <w:p w14:paraId="4BA34A7E">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针对冬小麦，需在</w:t>
      </w:r>
      <w:r>
        <w:rPr>
          <w:rFonts w:ascii="Times New Roman"/>
          <w:color w:val="000000" w:themeColor="text1"/>
          <w14:textFill>
            <w14:solidFill>
              <w14:schemeClr w14:val="tx1"/>
            </w14:solidFill>
          </w14:textFill>
        </w:rPr>
        <w:t>12月上旬，若出现地面干裂</w:t>
      </w:r>
      <w:r>
        <w:rPr>
          <w:rFonts w:hint="eastAsia" w:ascii="Times New Roman"/>
          <w:color w:val="000000" w:themeColor="text1"/>
          <w14:textFill>
            <w14:solidFill>
              <w14:schemeClr w14:val="tx1"/>
            </w14:solidFill>
          </w14:textFill>
        </w:rPr>
        <w:t>，或早播的地块有旺长迹象时，可进行一次深冬镇压；土壤完全解冻时可进行镇压划锄，增温保墒。</w:t>
      </w:r>
    </w:p>
    <w:p w14:paraId="526DA1E2">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5.4.</w:t>
      </w:r>
      <w:r>
        <w:rPr>
          <w:rFonts w:hint="eastAsia" w:ascii="黑体" w:hAnsi="黑体" w:eastAsia="黑体"/>
          <w:color w:val="000000" w:themeColor="text1"/>
          <w14:textFill>
            <w14:solidFill>
              <w14:schemeClr w14:val="tx1"/>
            </w14:solidFill>
          </w14:textFill>
        </w:rPr>
        <w:t>4</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化学除草</w:t>
      </w:r>
    </w:p>
    <w:p w14:paraId="52E83A56">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常见的草害主要有荠菜、播娘蒿、猪殃殃、节节麦、雀麦、野燕麦等。防治方法见表2，防治药剂符合GB/T</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8321（所有部分）的要求。</w:t>
      </w:r>
    </w:p>
    <w:p w14:paraId="3212C9EA">
      <w:pPr>
        <w:widowControl/>
        <w:numPr>
          <w:ilvl w:val="255"/>
          <w:numId w:val="0"/>
        </w:numPr>
        <w:tabs>
          <w:tab w:val="left" w:pos="0"/>
        </w:tabs>
        <w:spacing w:before="156" w:beforeLines="50" w:after="156" w:afterLines="50"/>
        <w:jc w:val="center"/>
        <w:rPr>
          <w:rFonts w:ascii="黑体" w:eastAsia="黑体"/>
          <w:kern w:val="0"/>
          <w:szCs w:val="20"/>
        </w:rPr>
      </w:pPr>
      <w:r>
        <w:rPr>
          <w:rFonts w:hint="eastAsia" w:ascii="黑体" w:eastAsia="黑体"/>
          <w:kern w:val="0"/>
          <w:szCs w:val="20"/>
        </w:rPr>
        <w:t>表2 小麦主要草害及防治方法</w:t>
      </w:r>
    </w:p>
    <w:tbl>
      <w:tblPr>
        <w:tblStyle w:val="185"/>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789"/>
        <w:gridCol w:w="3275"/>
        <w:gridCol w:w="4506"/>
      </w:tblGrid>
      <w:tr w14:paraId="2EC6C5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35" w:type="pct"/>
            <w:tcBorders>
              <w:top w:val="single" w:color="auto" w:sz="8" w:space="0"/>
              <w:bottom w:val="single" w:color="auto" w:sz="8" w:space="0"/>
            </w:tcBorders>
            <w:shd w:val="clear" w:color="auto" w:fill="auto"/>
            <w:vAlign w:val="center"/>
          </w:tcPr>
          <w:p w14:paraId="15D8D33A">
            <w:pPr>
              <w:widowControl/>
              <w:ind w:left="428" w:hanging="428"/>
              <w:jc w:val="center"/>
              <w:rPr>
                <w:b/>
                <w:color w:val="000000"/>
                <w:kern w:val="0"/>
                <w:szCs w:val="21"/>
                <w:lang w:bidi="ar"/>
              </w:rPr>
            </w:pPr>
            <w:r>
              <w:rPr>
                <w:b/>
                <w:color w:val="000000"/>
                <w:kern w:val="0"/>
                <w:szCs w:val="21"/>
                <w:lang w:bidi="ar"/>
              </w:rPr>
              <w:t>主要防治对象</w:t>
            </w:r>
          </w:p>
        </w:tc>
        <w:tc>
          <w:tcPr>
            <w:tcW w:w="1711" w:type="pct"/>
            <w:tcBorders>
              <w:top w:val="single" w:color="auto" w:sz="8" w:space="0"/>
              <w:bottom w:val="single" w:color="auto" w:sz="8" w:space="0"/>
            </w:tcBorders>
            <w:shd w:val="clear" w:color="auto" w:fill="auto"/>
            <w:vAlign w:val="center"/>
          </w:tcPr>
          <w:p w14:paraId="3A2C1AE8">
            <w:pPr>
              <w:widowControl/>
              <w:ind w:left="428" w:hanging="428"/>
              <w:jc w:val="center"/>
              <w:rPr>
                <w:b/>
                <w:color w:val="000000"/>
                <w:kern w:val="0"/>
                <w:szCs w:val="21"/>
                <w:lang w:bidi="ar"/>
              </w:rPr>
            </w:pPr>
            <w:r>
              <w:rPr>
                <w:b/>
                <w:color w:val="000000"/>
                <w:kern w:val="0"/>
                <w:szCs w:val="21"/>
                <w:lang w:bidi="ar"/>
              </w:rPr>
              <w:t>防治药剂主要成分</w:t>
            </w:r>
          </w:p>
        </w:tc>
        <w:tc>
          <w:tcPr>
            <w:tcW w:w="2354" w:type="pct"/>
            <w:tcBorders>
              <w:top w:val="single" w:color="auto" w:sz="8" w:space="0"/>
              <w:bottom w:val="single" w:color="auto" w:sz="8" w:space="0"/>
            </w:tcBorders>
            <w:shd w:val="clear" w:color="auto" w:fill="auto"/>
            <w:vAlign w:val="center"/>
          </w:tcPr>
          <w:p w14:paraId="49111105">
            <w:pPr>
              <w:widowControl/>
              <w:ind w:left="428" w:hanging="428"/>
              <w:jc w:val="center"/>
              <w:rPr>
                <w:b/>
                <w:color w:val="000000"/>
                <w:kern w:val="0"/>
                <w:szCs w:val="21"/>
                <w:lang w:bidi="ar"/>
              </w:rPr>
            </w:pPr>
            <w:r>
              <w:rPr>
                <w:b/>
                <w:color w:val="000000"/>
                <w:kern w:val="0"/>
                <w:szCs w:val="21"/>
                <w:lang w:bidi="ar"/>
              </w:rPr>
              <w:t>使用方法及注意事项</w:t>
            </w:r>
          </w:p>
        </w:tc>
      </w:tr>
      <w:tr w14:paraId="04ADAD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935" w:type="pct"/>
            <w:tcBorders>
              <w:top w:val="single" w:color="auto" w:sz="8" w:space="0"/>
            </w:tcBorders>
            <w:shd w:val="clear" w:color="auto" w:fill="auto"/>
            <w:vAlign w:val="center"/>
          </w:tcPr>
          <w:p w14:paraId="1A8F0EE7">
            <w:pPr>
              <w:widowControl/>
              <w:ind w:left="420" w:hanging="420"/>
              <w:jc w:val="center"/>
              <w:rPr>
                <w:bCs/>
                <w:color w:val="000000"/>
                <w:kern w:val="0"/>
                <w:szCs w:val="21"/>
                <w:lang w:bidi="ar"/>
              </w:rPr>
            </w:pPr>
            <w:r>
              <w:rPr>
                <w:color w:val="000000"/>
                <w:kern w:val="0"/>
                <w:szCs w:val="21"/>
                <w:lang w:bidi="ar"/>
              </w:rPr>
              <w:t>荠菜</w:t>
            </w:r>
          </w:p>
        </w:tc>
        <w:tc>
          <w:tcPr>
            <w:tcW w:w="1711" w:type="pct"/>
            <w:tcBorders>
              <w:top w:val="single" w:color="auto" w:sz="8" w:space="0"/>
            </w:tcBorders>
            <w:shd w:val="clear" w:color="auto" w:fill="auto"/>
            <w:vAlign w:val="center"/>
          </w:tcPr>
          <w:p w14:paraId="7D3B86A3">
            <w:pPr>
              <w:widowControl/>
              <w:ind w:left="420" w:hanging="420"/>
              <w:jc w:val="center"/>
              <w:rPr>
                <w:bCs/>
                <w:color w:val="000000"/>
                <w:kern w:val="0"/>
                <w:szCs w:val="21"/>
                <w:lang w:bidi="ar"/>
              </w:rPr>
            </w:pPr>
            <w:r>
              <w:rPr>
                <w:color w:val="000000"/>
                <w:kern w:val="0"/>
                <w:szCs w:val="21"/>
                <w:lang w:bidi="ar"/>
              </w:rPr>
              <w:t>双氟磺草胺</w:t>
            </w:r>
          </w:p>
        </w:tc>
        <w:tc>
          <w:tcPr>
            <w:tcW w:w="2354" w:type="pct"/>
            <w:vMerge w:val="restart"/>
            <w:tcBorders>
              <w:top w:val="single" w:color="auto" w:sz="8" w:space="0"/>
            </w:tcBorders>
            <w:shd w:val="clear" w:color="auto" w:fill="auto"/>
            <w:vAlign w:val="center"/>
          </w:tcPr>
          <w:p w14:paraId="6FA9096F">
            <w:pPr>
              <w:widowControl/>
              <w:jc w:val="left"/>
              <w:rPr>
                <w:szCs w:val="21"/>
              </w:rPr>
            </w:pPr>
            <w:r>
              <w:rPr>
                <w:color w:val="000000"/>
                <w:kern w:val="0"/>
                <w:szCs w:val="21"/>
                <w:lang w:bidi="ar"/>
              </w:rPr>
              <w:t>小麦出苗后4</w:t>
            </w:r>
            <w:r>
              <w:rPr>
                <w:rFonts w:hint="eastAsia"/>
                <w:color w:val="000000"/>
                <w:kern w:val="0"/>
                <w:szCs w:val="21"/>
                <w:lang w:bidi="ar"/>
              </w:rPr>
              <w:t>-</w:t>
            </w:r>
            <w:r>
              <w:rPr>
                <w:color w:val="000000"/>
                <w:kern w:val="0"/>
                <w:szCs w:val="21"/>
                <w:lang w:bidi="ar"/>
              </w:rPr>
              <w:t>5叶期或者翌年2月下旬至3月上旬温度稳定在6</w:t>
            </w:r>
            <w:r>
              <w:rPr>
                <w:rFonts w:eastAsia="MS Mincho"/>
                <w:color w:val="000000"/>
                <w:kern w:val="0"/>
                <w:szCs w:val="21"/>
                <w:lang w:bidi="ar"/>
              </w:rPr>
              <w:t> </w:t>
            </w:r>
            <w:r>
              <w:rPr>
                <w:color w:val="000000"/>
                <w:kern w:val="0"/>
                <w:szCs w:val="21"/>
                <w:lang w:bidi="ar"/>
              </w:rPr>
              <w:t>℃以上，晴天无风时喷雾防治。</w:t>
            </w:r>
          </w:p>
          <w:p w14:paraId="42DBC8A8">
            <w:pPr>
              <w:widowControl/>
              <w:jc w:val="left"/>
              <w:rPr>
                <w:bCs/>
                <w:color w:val="000000"/>
                <w:kern w:val="0"/>
                <w:szCs w:val="21"/>
                <w:lang w:bidi="ar"/>
              </w:rPr>
            </w:pPr>
            <w:r>
              <w:rPr>
                <w:color w:val="000000"/>
                <w:kern w:val="0"/>
                <w:szCs w:val="21"/>
                <w:lang w:bidi="ar"/>
              </w:rPr>
              <w:t>严格按照农药说明书使用，注意二次稀释，小麦拔节后不能再用除草剂。</w:t>
            </w:r>
          </w:p>
        </w:tc>
      </w:tr>
      <w:tr w14:paraId="67C79A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5" w:type="pct"/>
            <w:shd w:val="clear" w:color="auto" w:fill="auto"/>
            <w:vAlign w:val="center"/>
          </w:tcPr>
          <w:p w14:paraId="15D575CA">
            <w:pPr>
              <w:widowControl/>
              <w:ind w:left="420" w:hanging="420"/>
              <w:jc w:val="center"/>
              <w:rPr>
                <w:bCs/>
                <w:color w:val="000000"/>
                <w:kern w:val="0"/>
                <w:szCs w:val="21"/>
                <w:lang w:bidi="ar"/>
              </w:rPr>
            </w:pPr>
            <w:r>
              <w:rPr>
                <w:color w:val="000000"/>
                <w:kern w:val="0"/>
                <w:szCs w:val="21"/>
                <w:lang w:bidi="ar"/>
              </w:rPr>
              <w:t>播娘蒿</w:t>
            </w:r>
          </w:p>
        </w:tc>
        <w:tc>
          <w:tcPr>
            <w:tcW w:w="1711" w:type="pct"/>
            <w:shd w:val="clear" w:color="auto" w:fill="auto"/>
            <w:vAlign w:val="center"/>
          </w:tcPr>
          <w:p w14:paraId="39148F97">
            <w:pPr>
              <w:widowControl/>
              <w:ind w:left="420" w:hanging="420"/>
              <w:jc w:val="center"/>
              <w:rPr>
                <w:bCs/>
                <w:color w:val="000000"/>
                <w:kern w:val="0"/>
                <w:szCs w:val="21"/>
                <w:lang w:bidi="ar"/>
              </w:rPr>
            </w:pPr>
            <w:r>
              <w:rPr>
                <w:color w:val="000000"/>
                <w:kern w:val="0"/>
                <w:szCs w:val="21"/>
                <w:lang w:bidi="ar"/>
              </w:rPr>
              <w:t>苯磺隆</w:t>
            </w:r>
          </w:p>
        </w:tc>
        <w:tc>
          <w:tcPr>
            <w:tcW w:w="2354" w:type="pct"/>
            <w:vMerge w:val="continue"/>
            <w:shd w:val="clear" w:color="auto" w:fill="auto"/>
            <w:vAlign w:val="center"/>
          </w:tcPr>
          <w:p w14:paraId="64D55916">
            <w:pPr>
              <w:widowControl/>
              <w:ind w:left="420" w:hanging="420"/>
              <w:jc w:val="center"/>
              <w:rPr>
                <w:bCs/>
                <w:color w:val="000000"/>
                <w:kern w:val="0"/>
                <w:szCs w:val="21"/>
                <w:lang w:bidi="ar"/>
              </w:rPr>
            </w:pPr>
          </w:p>
        </w:tc>
      </w:tr>
      <w:tr w14:paraId="6EA63B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35" w:type="pct"/>
            <w:shd w:val="clear" w:color="auto" w:fill="auto"/>
            <w:vAlign w:val="center"/>
          </w:tcPr>
          <w:p w14:paraId="6F8E57B2">
            <w:pPr>
              <w:widowControl/>
              <w:ind w:left="420" w:hanging="420"/>
              <w:jc w:val="center"/>
              <w:rPr>
                <w:bCs/>
                <w:color w:val="000000"/>
                <w:kern w:val="0"/>
                <w:szCs w:val="21"/>
                <w:lang w:bidi="ar"/>
              </w:rPr>
            </w:pPr>
            <w:r>
              <w:rPr>
                <w:color w:val="000000"/>
                <w:kern w:val="0"/>
                <w:szCs w:val="21"/>
                <w:lang w:bidi="ar"/>
              </w:rPr>
              <w:t>猪殃殃</w:t>
            </w:r>
          </w:p>
        </w:tc>
        <w:tc>
          <w:tcPr>
            <w:tcW w:w="1711" w:type="pct"/>
            <w:shd w:val="clear" w:color="auto" w:fill="auto"/>
            <w:vAlign w:val="center"/>
          </w:tcPr>
          <w:p w14:paraId="42C74851">
            <w:pPr>
              <w:widowControl/>
              <w:ind w:left="420" w:hanging="420"/>
              <w:jc w:val="center"/>
              <w:rPr>
                <w:bCs/>
                <w:color w:val="000000"/>
                <w:kern w:val="0"/>
                <w:szCs w:val="21"/>
                <w:lang w:bidi="ar"/>
              </w:rPr>
            </w:pPr>
            <w:r>
              <w:rPr>
                <w:color w:val="000000"/>
                <w:kern w:val="0"/>
                <w:szCs w:val="21"/>
                <w:lang w:bidi="ar"/>
              </w:rPr>
              <w:t>氟氯吡啶酯、氯氟吡氧乙酸</w:t>
            </w:r>
          </w:p>
        </w:tc>
        <w:tc>
          <w:tcPr>
            <w:tcW w:w="2354" w:type="pct"/>
            <w:vMerge w:val="continue"/>
            <w:shd w:val="clear" w:color="auto" w:fill="auto"/>
            <w:vAlign w:val="center"/>
          </w:tcPr>
          <w:p w14:paraId="722E209E">
            <w:pPr>
              <w:widowControl/>
              <w:ind w:left="420" w:hanging="420"/>
              <w:jc w:val="center"/>
              <w:rPr>
                <w:bCs/>
                <w:color w:val="000000"/>
                <w:kern w:val="0"/>
                <w:szCs w:val="21"/>
                <w:lang w:bidi="ar"/>
              </w:rPr>
            </w:pPr>
          </w:p>
        </w:tc>
      </w:tr>
      <w:tr w14:paraId="732F7A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35" w:type="pct"/>
            <w:shd w:val="clear" w:color="auto" w:fill="auto"/>
            <w:vAlign w:val="center"/>
          </w:tcPr>
          <w:p w14:paraId="7A415E0A">
            <w:pPr>
              <w:widowControl/>
              <w:ind w:left="420" w:hanging="420"/>
              <w:jc w:val="center"/>
              <w:rPr>
                <w:bCs/>
                <w:color w:val="000000"/>
                <w:kern w:val="0"/>
                <w:szCs w:val="21"/>
                <w:lang w:bidi="ar"/>
              </w:rPr>
            </w:pPr>
            <w:r>
              <w:rPr>
                <w:color w:val="000000"/>
                <w:kern w:val="0"/>
                <w:szCs w:val="21"/>
                <w:lang w:bidi="ar"/>
              </w:rPr>
              <w:t>节节麦</w:t>
            </w:r>
          </w:p>
        </w:tc>
        <w:tc>
          <w:tcPr>
            <w:tcW w:w="1711" w:type="pct"/>
            <w:shd w:val="clear" w:color="auto" w:fill="auto"/>
            <w:vAlign w:val="center"/>
          </w:tcPr>
          <w:p w14:paraId="38C1A96F">
            <w:pPr>
              <w:widowControl/>
              <w:ind w:left="420" w:hanging="420"/>
              <w:jc w:val="center"/>
              <w:rPr>
                <w:bCs/>
                <w:color w:val="000000"/>
                <w:kern w:val="0"/>
                <w:szCs w:val="21"/>
                <w:lang w:bidi="ar"/>
              </w:rPr>
            </w:pPr>
            <w:r>
              <w:rPr>
                <w:color w:val="000000"/>
                <w:kern w:val="0"/>
                <w:szCs w:val="21"/>
                <w:lang w:bidi="ar"/>
              </w:rPr>
              <w:t>甲基二磺隆</w:t>
            </w:r>
          </w:p>
        </w:tc>
        <w:tc>
          <w:tcPr>
            <w:tcW w:w="2354" w:type="pct"/>
            <w:vMerge w:val="continue"/>
            <w:shd w:val="clear" w:color="auto" w:fill="auto"/>
            <w:vAlign w:val="center"/>
          </w:tcPr>
          <w:p w14:paraId="788DCE47">
            <w:pPr>
              <w:widowControl/>
              <w:ind w:left="420" w:hanging="420"/>
              <w:jc w:val="center"/>
              <w:rPr>
                <w:bCs/>
                <w:color w:val="000000"/>
                <w:kern w:val="0"/>
                <w:szCs w:val="21"/>
                <w:lang w:bidi="ar"/>
              </w:rPr>
            </w:pPr>
          </w:p>
        </w:tc>
      </w:tr>
      <w:tr w14:paraId="0ED44E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935" w:type="pct"/>
            <w:shd w:val="clear" w:color="auto" w:fill="auto"/>
            <w:vAlign w:val="center"/>
          </w:tcPr>
          <w:p w14:paraId="7F7C1C8D">
            <w:pPr>
              <w:widowControl/>
              <w:ind w:left="420" w:hanging="420"/>
              <w:jc w:val="center"/>
              <w:rPr>
                <w:color w:val="000000"/>
                <w:kern w:val="0"/>
                <w:szCs w:val="21"/>
                <w:lang w:bidi="ar"/>
              </w:rPr>
            </w:pPr>
            <w:r>
              <w:rPr>
                <w:color w:val="000000"/>
                <w:kern w:val="0"/>
                <w:szCs w:val="21"/>
                <w:lang w:bidi="ar"/>
              </w:rPr>
              <w:t>雀麦</w:t>
            </w:r>
          </w:p>
        </w:tc>
        <w:tc>
          <w:tcPr>
            <w:tcW w:w="1711" w:type="pct"/>
            <w:shd w:val="clear" w:color="auto" w:fill="auto"/>
            <w:vAlign w:val="center"/>
          </w:tcPr>
          <w:p w14:paraId="57603E23">
            <w:pPr>
              <w:widowControl/>
              <w:ind w:left="420" w:hanging="420"/>
              <w:jc w:val="center"/>
              <w:rPr>
                <w:color w:val="000000"/>
                <w:kern w:val="0"/>
                <w:szCs w:val="21"/>
                <w:lang w:bidi="ar"/>
              </w:rPr>
            </w:pPr>
            <w:r>
              <w:rPr>
                <w:color w:val="000000"/>
                <w:kern w:val="0"/>
                <w:szCs w:val="21"/>
                <w:lang w:bidi="ar"/>
              </w:rPr>
              <w:t>氟唑磺隆</w:t>
            </w:r>
          </w:p>
        </w:tc>
        <w:tc>
          <w:tcPr>
            <w:tcW w:w="2354" w:type="pct"/>
            <w:vMerge w:val="continue"/>
            <w:shd w:val="clear" w:color="auto" w:fill="auto"/>
            <w:vAlign w:val="center"/>
          </w:tcPr>
          <w:p w14:paraId="223CBABB">
            <w:pPr>
              <w:widowControl/>
              <w:ind w:left="420" w:hanging="420"/>
              <w:jc w:val="center"/>
              <w:rPr>
                <w:color w:val="000000"/>
                <w:kern w:val="0"/>
                <w:szCs w:val="21"/>
                <w:lang w:bidi="ar"/>
              </w:rPr>
            </w:pPr>
          </w:p>
        </w:tc>
      </w:tr>
      <w:tr w14:paraId="3CA162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35" w:type="pct"/>
            <w:tcBorders>
              <w:bottom w:val="single" w:color="auto" w:sz="8" w:space="0"/>
            </w:tcBorders>
            <w:shd w:val="clear" w:color="auto" w:fill="auto"/>
            <w:vAlign w:val="center"/>
          </w:tcPr>
          <w:p w14:paraId="01D96742">
            <w:pPr>
              <w:widowControl/>
              <w:ind w:left="420" w:hanging="420"/>
              <w:jc w:val="center"/>
              <w:rPr>
                <w:color w:val="000000"/>
                <w:kern w:val="0"/>
                <w:szCs w:val="21"/>
                <w:lang w:bidi="ar"/>
              </w:rPr>
            </w:pPr>
            <w:r>
              <w:rPr>
                <w:color w:val="000000"/>
                <w:kern w:val="0"/>
                <w:szCs w:val="21"/>
                <w:lang w:bidi="ar"/>
              </w:rPr>
              <w:t>野燕麦</w:t>
            </w:r>
          </w:p>
        </w:tc>
        <w:tc>
          <w:tcPr>
            <w:tcW w:w="1711" w:type="pct"/>
            <w:tcBorders>
              <w:bottom w:val="single" w:color="auto" w:sz="8" w:space="0"/>
            </w:tcBorders>
            <w:shd w:val="clear" w:color="auto" w:fill="auto"/>
            <w:vAlign w:val="center"/>
          </w:tcPr>
          <w:p w14:paraId="0C5B109E">
            <w:pPr>
              <w:widowControl/>
              <w:ind w:left="420" w:hanging="420"/>
              <w:jc w:val="center"/>
              <w:rPr>
                <w:color w:val="000000"/>
                <w:kern w:val="0"/>
                <w:szCs w:val="21"/>
                <w:lang w:bidi="ar"/>
              </w:rPr>
            </w:pPr>
            <w:r>
              <w:rPr>
                <w:color w:val="000000"/>
                <w:kern w:val="0"/>
                <w:szCs w:val="21"/>
                <w:lang w:bidi="ar"/>
              </w:rPr>
              <w:t>精恶唑禾草灵</w:t>
            </w:r>
          </w:p>
        </w:tc>
        <w:tc>
          <w:tcPr>
            <w:tcW w:w="2354" w:type="pct"/>
            <w:vMerge w:val="continue"/>
            <w:tcBorders>
              <w:bottom w:val="single" w:color="auto" w:sz="8" w:space="0"/>
            </w:tcBorders>
            <w:shd w:val="clear" w:color="auto" w:fill="auto"/>
            <w:vAlign w:val="center"/>
          </w:tcPr>
          <w:p w14:paraId="1C993560">
            <w:pPr>
              <w:widowControl/>
              <w:ind w:left="420" w:hanging="420"/>
              <w:jc w:val="center"/>
              <w:rPr>
                <w:color w:val="000000"/>
                <w:kern w:val="0"/>
                <w:szCs w:val="21"/>
                <w:lang w:bidi="ar"/>
              </w:rPr>
            </w:pPr>
          </w:p>
        </w:tc>
      </w:tr>
    </w:tbl>
    <w:p w14:paraId="16443A84">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4.5</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化控防倒</w:t>
      </w:r>
    </w:p>
    <w:p w14:paraId="5285875C">
      <w:pPr>
        <w:pStyle w:val="37"/>
        <w:spacing w:before="0" w:beforeAutospacing="0" w:after="0" w:afterAutospacing="0"/>
        <w:ind w:firstLine="420" w:firstLineChars="200"/>
        <w:jc w:val="both"/>
        <w:rPr>
          <w:rFonts w:ascii="Times New Roman" w:hAnsi="Times New Roman" w:eastAsiaTheme="minorEastAsia"/>
          <w:kern w:val="2"/>
          <w:sz w:val="21"/>
          <w:szCs w:val="21"/>
        </w:rPr>
      </w:pPr>
      <w:r>
        <w:rPr>
          <w:rFonts w:hint="eastAsia" w:ascii="Times New Roman" w:hAnsi="Times New Roman" w:eastAsiaTheme="minorEastAsia"/>
          <w:kern w:val="2"/>
          <w:sz w:val="21"/>
          <w:szCs w:val="21"/>
        </w:rPr>
        <w:t>对于群体大有旺长趋势的麦田，于小麦起身前可进行喷雾化控，</w:t>
      </w:r>
      <w:r>
        <w:rPr>
          <w:rFonts w:ascii="Times New Roman" w:hAnsi="Times New Roman" w:eastAsiaTheme="minorEastAsia"/>
          <w:kern w:val="2"/>
          <w:sz w:val="21"/>
          <w:szCs w:val="21"/>
        </w:rPr>
        <w:t>缩短基部节间，控制麦苗徒长</w:t>
      </w:r>
      <w:r>
        <w:rPr>
          <w:rFonts w:hint="eastAsia" w:ascii="Times New Roman" w:hAnsi="Times New Roman" w:eastAsiaTheme="minorEastAsia"/>
          <w:kern w:val="2"/>
          <w:sz w:val="21"/>
          <w:szCs w:val="21"/>
        </w:rPr>
        <w:t>。</w:t>
      </w:r>
      <w:r>
        <w:rPr>
          <w:rFonts w:ascii="Times New Roman" w:hAnsi="Times New Roman" w:eastAsiaTheme="minorEastAsia"/>
          <w:kern w:val="2"/>
          <w:sz w:val="21"/>
          <w:szCs w:val="21"/>
        </w:rPr>
        <w:t>后期长势过旺可于挑旗孕穗期</w:t>
      </w:r>
      <w:r>
        <w:rPr>
          <w:rFonts w:hint="eastAsia" w:ascii="Times New Roman" w:hAnsi="Times New Roman" w:eastAsiaTheme="minorEastAsia"/>
          <w:kern w:val="2"/>
          <w:sz w:val="21"/>
          <w:szCs w:val="21"/>
        </w:rPr>
        <w:t>再喷雾化控一次，提高抗倒伏能力。</w:t>
      </w:r>
    </w:p>
    <w:p w14:paraId="67A6B11B">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4.6</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水肥管控</w:t>
      </w:r>
    </w:p>
    <w:p w14:paraId="00E54D1A">
      <w:pPr>
        <w:pStyle w:val="37"/>
        <w:spacing w:before="0" w:beforeAutospacing="0" w:after="0" w:afterAutospacing="0"/>
        <w:ind w:firstLine="420" w:firstLineChars="200"/>
        <w:jc w:val="both"/>
        <w:rPr>
          <w:rFonts w:ascii="Times New Roman" w:hAnsi="Times New Roman" w:eastAsiaTheme="minorEastAsia"/>
          <w:kern w:val="2"/>
          <w:sz w:val="21"/>
          <w:szCs w:val="21"/>
        </w:rPr>
      </w:pPr>
      <w:r>
        <w:rPr>
          <w:rFonts w:hint="eastAsia" w:ascii="Times New Roman" w:hAnsi="Times New Roman" w:eastAsiaTheme="minorEastAsia"/>
          <w:kern w:val="2"/>
          <w:sz w:val="21"/>
          <w:szCs w:val="21"/>
        </w:rPr>
        <w:t>返青后期至起身前期浇第</w:t>
      </w:r>
      <w:r>
        <w:rPr>
          <w:rFonts w:ascii="Times New Roman" w:hAnsi="Times New Roman" w:eastAsiaTheme="minorEastAsia"/>
          <w:kern w:val="2"/>
          <w:sz w:val="21"/>
          <w:szCs w:val="21"/>
        </w:rPr>
        <w:t>1</w:t>
      </w:r>
      <w:r>
        <w:rPr>
          <w:rFonts w:hint="eastAsia" w:ascii="Times New Roman" w:hAnsi="Times New Roman" w:eastAsiaTheme="minorEastAsia"/>
          <w:kern w:val="2"/>
          <w:sz w:val="21"/>
          <w:szCs w:val="21"/>
        </w:rPr>
        <w:t>次水，拔节后期浇第</w:t>
      </w:r>
      <w:r>
        <w:rPr>
          <w:rFonts w:ascii="Times New Roman" w:hAnsi="Times New Roman" w:eastAsiaTheme="minorEastAsia"/>
          <w:kern w:val="2"/>
          <w:sz w:val="21"/>
          <w:szCs w:val="21"/>
        </w:rPr>
        <w:t>2</w:t>
      </w:r>
      <w:r>
        <w:rPr>
          <w:rFonts w:hint="eastAsia" w:ascii="Times New Roman" w:hAnsi="Times New Roman" w:eastAsiaTheme="minorEastAsia"/>
          <w:kern w:val="2"/>
          <w:sz w:val="21"/>
          <w:szCs w:val="21"/>
        </w:rPr>
        <w:t>次水。群体适宜的麦田在拔节期浇足水。群体偏小、苗情偏弱的麦田在返青期追肥浇水，每</w:t>
      </w:r>
      <w:r>
        <w:rPr>
          <w:rFonts w:ascii="Times New Roman" w:hAnsi="Times New Roman" w:eastAsiaTheme="minorEastAsia"/>
          <w:kern w:val="2"/>
          <w:sz w:val="21"/>
          <w:szCs w:val="21"/>
        </w:rPr>
        <w:t>667 m</w:t>
      </w:r>
      <w:r>
        <w:rPr>
          <w:rFonts w:ascii="Times New Roman" w:hAnsi="Times New Roman" w:eastAsiaTheme="minorEastAsia"/>
          <w:kern w:val="2"/>
          <w:sz w:val="21"/>
          <w:szCs w:val="21"/>
          <w:vertAlign w:val="superscript"/>
        </w:rPr>
        <w:t>2</w:t>
      </w:r>
      <w:r>
        <w:rPr>
          <w:rFonts w:hint="eastAsia" w:ascii="Times New Roman" w:hAnsi="Times New Roman" w:eastAsiaTheme="minorEastAsia"/>
          <w:kern w:val="2"/>
          <w:sz w:val="21"/>
          <w:szCs w:val="21"/>
        </w:rPr>
        <w:t>追施尿素</w:t>
      </w:r>
      <w:r>
        <w:rPr>
          <w:rFonts w:ascii="Times New Roman" w:hAnsi="Times New Roman" w:eastAsiaTheme="minorEastAsia"/>
          <w:kern w:val="2"/>
          <w:sz w:val="21"/>
          <w:szCs w:val="21"/>
        </w:rPr>
        <w:t>15 kg-20 kg</w:t>
      </w:r>
      <w:r>
        <w:rPr>
          <w:rFonts w:hint="eastAsia" w:ascii="Times New Roman" w:hAnsi="Times New Roman" w:eastAsiaTheme="minorEastAsia"/>
          <w:kern w:val="2"/>
          <w:sz w:val="21"/>
          <w:szCs w:val="21"/>
        </w:rPr>
        <w:t>，群体偏大、出现旺长的麦田在拔节后期追肥浇水，每</w:t>
      </w:r>
      <w:r>
        <w:rPr>
          <w:rFonts w:ascii="Times New Roman" w:hAnsi="Times New Roman" w:eastAsiaTheme="minorEastAsia"/>
          <w:kern w:val="2"/>
          <w:sz w:val="21"/>
          <w:szCs w:val="21"/>
        </w:rPr>
        <w:t>667 m</w:t>
      </w:r>
      <w:r>
        <w:rPr>
          <w:rFonts w:ascii="Times New Roman" w:hAnsi="Times New Roman" w:eastAsiaTheme="minorEastAsia"/>
          <w:kern w:val="2"/>
          <w:sz w:val="21"/>
          <w:szCs w:val="21"/>
          <w:vertAlign w:val="superscript"/>
        </w:rPr>
        <w:t>2</w:t>
      </w:r>
      <w:r>
        <w:rPr>
          <w:rFonts w:hint="eastAsia" w:ascii="Times New Roman" w:hAnsi="Times New Roman" w:eastAsiaTheme="minorEastAsia"/>
          <w:kern w:val="2"/>
          <w:sz w:val="21"/>
          <w:szCs w:val="21"/>
        </w:rPr>
        <w:t>追施尿素</w:t>
      </w:r>
      <w:r>
        <w:rPr>
          <w:rFonts w:ascii="Times New Roman" w:hAnsi="Times New Roman" w:eastAsiaTheme="minorEastAsia"/>
          <w:kern w:val="2"/>
          <w:sz w:val="21"/>
          <w:szCs w:val="21"/>
        </w:rPr>
        <w:t>12 kg-15 kg</w:t>
      </w:r>
      <w:r>
        <w:rPr>
          <w:rFonts w:hint="eastAsia" w:ascii="Times New Roman" w:hAnsi="Times New Roman" w:eastAsiaTheme="minorEastAsia"/>
          <w:kern w:val="2"/>
          <w:sz w:val="21"/>
          <w:szCs w:val="21"/>
        </w:rPr>
        <w:t>。</w:t>
      </w:r>
      <w:r>
        <w:rPr>
          <w:rFonts w:ascii="Times New Roman" w:hAnsi="Times New Roman" w:eastAsiaTheme="minorEastAsia"/>
          <w:kern w:val="2"/>
          <w:sz w:val="21"/>
          <w:szCs w:val="21"/>
        </w:rPr>
        <w:t>拔节后结合天气和作物长势情况喷施磷酸二氢钾</w:t>
      </w:r>
      <w:r>
        <w:rPr>
          <w:rFonts w:hint="eastAsia" w:ascii="Times New Roman" w:hAnsi="Times New Roman" w:eastAsiaTheme="minorEastAsia"/>
          <w:kern w:val="2"/>
          <w:sz w:val="21"/>
          <w:szCs w:val="21"/>
        </w:rPr>
        <w:t>等叶面肥</w:t>
      </w:r>
      <w:r>
        <w:rPr>
          <w:rFonts w:ascii="Times New Roman" w:hAnsi="Times New Roman" w:eastAsiaTheme="minorEastAsia"/>
          <w:kern w:val="2"/>
          <w:sz w:val="21"/>
          <w:szCs w:val="21"/>
        </w:rPr>
        <w:t>2至3次。</w:t>
      </w:r>
    </w:p>
    <w:p w14:paraId="77CB8E52">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4.7</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主要</w:t>
      </w:r>
      <w:r>
        <w:rPr>
          <w:rFonts w:ascii="黑体" w:hAnsi="黑体" w:eastAsia="黑体"/>
          <w:color w:val="000000" w:themeColor="text1"/>
          <w14:textFill>
            <w14:solidFill>
              <w14:schemeClr w14:val="tx1"/>
            </w14:solidFill>
          </w14:textFill>
        </w:rPr>
        <w:t>虫害防治</w:t>
      </w:r>
    </w:p>
    <w:p w14:paraId="571FE29D">
      <w:pPr>
        <w:pStyle w:val="37"/>
        <w:spacing w:before="0" w:beforeAutospacing="0" w:after="0" w:afterAutospacing="0"/>
        <w:ind w:firstLine="420" w:firstLineChars="200"/>
        <w:jc w:val="both"/>
        <w:rPr>
          <w:rFonts w:ascii="Times New Roman" w:hAnsi="Times New Roman" w:eastAsiaTheme="minorEastAsia"/>
          <w:kern w:val="2"/>
          <w:sz w:val="21"/>
          <w:szCs w:val="21"/>
        </w:rPr>
      </w:pPr>
      <w:r>
        <w:rPr>
          <w:rFonts w:hint="eastAsia" w:ascii="Times New Roman" w:hAnsi="Times New Roman" w:eastAsiaTheme="minorEastAsia"/>
          <w:kern w:val="2"/>
          <w:sz w:val="21"/>
          <w:szCs w:val="21"/>
        </w:rPr>
        <w:t>常见的虫害主要是麦蚜、麦红蜘蛛等。防治方法见表3，防治药剂符合GB/T</w:t>
      </w:r>
      <w:r>
        <w:rPr>
          <w:rFonts w:ascii="Times New Roman" w:hAnsi="Times New Roman" w:eastAsiaTheme="minorEastAsia"/>
          <w:kern w:val="2"/>
          <w:sz w:val="21"/>
          <w:szCs w:val="21"/>
        </w:rPr>
        <w:t xml:space="preserve"> </w:t>
      </w:r>
      <w:r>
        <w:rPr>
          <w:rFonts w:hint="eastAsia" w:ascii="Times New Roman" w:hAnsi="Times New Roman" w:eastAsiaTheme="minorEastAsia"/>
          <w:kern w:val="2"/>
          <w:sz w:val="21"/>
          <w:szCs w:val="21"/>
        </w:rPr>
        <w:t>8321（所有部分）的要求。</w:t>
      </w:r>
    </w:p>
    <w:p w14:paraId="7D458BF4">
      <w:pPr>
        <w:widowControl/>
        <w:numPr>
          <w:ilvl w:val="255"/>
          <w:numId w:val="0"/>
        </w:numPr>
        <w:tabs>
          <w:tab w:val="left" w:pos="0"/>
        </w:tabs>
        <w:spacing w:before="156" w:beforeLines="50" w:after="156" w:afterLines="50"/>
        <w:jc w:val="center"/>
        <w:rPr>
          <w:rFonts w:ascii="黑体" w:eastAsia="黑体"/>
          <w:kern w:val="0"/>
          <w:szCs w:val="20"/>
        </w:rPr>
      </w:pPr>
      <w:r>
        <w:rPr>
          <w:rFonts w:hint="eastAsia" w:ascii="黑体" w:eastAsia="黑体"/>
          <w:kern w:val="0"/>
          <w:szCs w:val="20"/>
        </w:rPr>
        <w:t>表3 小麦主要虫害及防治方法</w:t>
      </w:r>
    </w:p>
    <w:tbl>
      <w:tblPr>
        <w:tblStyle w:val="18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27"/>
        <w:gridCol w:w="3429"/>
        <w:gridCol w:w="4218"/>
      </w:tblGrid>
      <w:tr w14:paraId="6A4D43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3" w:hRule="atLeast"/>
          <w:jc w:val="center"/>
        </w:trPr>
        <w:tc>
          <w:tcPr>
            <w:tcW w:w="921" w:type="pct"/>
            <w:tcBorders>
              <w:top w:val="single" w:color="auto" w:sz="8" w:space="0"/>
              <w:bottom w:val="single" w:color="auto" w:sz="8" w:space="0"/>
            </w:tcBorders>
            <w:shd w:val="clear" w:color="auto" w:fill="auto"/>
            <w:vAlign w:val="center"/>
          </w:tcPr>
          <w:p w14:paraId="7017178F">
            <w:pPr>
              <w:widowControl/>
              <w:jc w:val="center"/>
              <w:rPr>
                <w:b/>
                <w:color w:val="000000"/>
                <w:kern w:val="0"/>
                <w:szCs w:val="21"/>
                <w:lang w:bidi="ar"/>
              </w:rPr>
            </w:pPr>
            <w:r>
              <w:rPr>
                <w:b/>
                <w:color w:val="000000"/>
                <w:kern w:val="0"/>
                <w:szCs w:val="21"/>
                <w:lang w:bidi="ar"/>
              </w:rPr>
              <w:t>主要防治对象</w:t>
            </w:r>
          </w:p>
        </w:tc>
        <w:tc>
          <w:tcPr>
            <w:tcW w:w="1829" w:type="pct"/>
            <w:tcBorders>
              <w:top w:val="single" w:color="auto" w:sz="8" w:space="0"/>
              <w:bottom w:val="single" w:color="auto" w:sz="8" w:space="0"/>
            </w:tcBorders>
            <w:shd w:val="clear" w:color="auto" w:fill="auto"/>
            <w:vAlign w:val="center"/>
          </w:tcPr>
          <w:p w14:paraId="40EFB5F8">
            <w:pPr>
              <w:widowControl/>
              <w:jc w:val="center"/>
              <w:rPr>
                <w:b/>
                <w:color w:val="000000"/>
                <w:kern w:val="0"/>
                <w:szCs w:val="21"/>
                <w:lang w:bidi="ar"/>
              </w:rPr>
            </w:pPr>
            <w:r>
              <w:rPr>
                <w:b/>
                <w:color w:val="000000"/>
                <w:kern w:val="0"/>
                <w:szCs w:val="21"/>
                <w:lang w:bidi="ar"/>
              </w:rPr>
              <w:t>防治指标</w:t>
            </w:r>
          </w:p>
        </w:tc>
        <w:tc>
          <w:tcPr>
            <w:tcW w:w="2250" w:type="pct"/>
            <w:tcBorders>
              <w:top w:val="single" w:color="auto" w:sz="8" w:space="0"/>
              <w:bottom w:val="single" w:color="auto" w:sz="8" w:space="0"/>
            </w:tcBorders>
            <w:shd w:val="clear" w:color="auto" w:fill="auto"/>
            <w:vAlign w:val="center"/>
          </w:tcPr>
          <w:p w14:paraId="4724D006">
            <w:pPr>
              <w:widowControl/>
              <w:jc w:val="center"/>
              <w:rPr>
                <w:b/>
                <w:color w:val="000000"/>
                <w:kern w:val="0"/>
                <w:szCs w:val="21"/>
                <w:lang w:bidi="ar"/>
              </w:rPr>
            </w:pPr>
            <w:r>
              <w:rPr>
                <w:b/>
                <w:color w:val="000000"/>
                <w:kern w:val="0"/>
                <w:szCs w:val="21"/>
                <w:lang w:bidi="ar"/>
              </w:rPr>
              <w:t>防治药剂主要成分及方法</w:t>
            </w:r>
          </w:p>
        </w:tc>
      </w:tr>
      <w:tr w14:paraId="6A968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21" w:type="pct"/>
            <w:tcBorders>
              <w:top w:val="single" w:color="auto" w:sz="8" w:space="0"/>
            </w:tcBorders>
            <w:shd w:val="clear" w:color="auto" w:fill="auto"/>
            <w:vAlign w:val="center"/>
          </w:tcPr>
          <w:p w14:paraId="311DD758">
            <w:pPr>
              <w:widowControl/>
              <w:jc w:val="center"/>
              <w:rPr>
                <w:bCs/>
                <w:color w:val="000000"/>
                <w:kern w:val="0"/>
                <w:szCs w:val="21"/>
                <w:lang w:bidi="ar"/>
              </w:rPr>
            </w:pPr>
            <w:r>
              <w:rPr>
                <w:color w:val="000000"/>
                <w:kern w:val="0"/>
                <w:szCs w:val="21"/>
                <w:lang w:bidi="ar"/>
              </w:rPr>
              <w:t>蚜虫</w:t>
            </w:r>
          </w:p>
        </w:tc>
        <w:tc>
          <w:tcPr>
            <w:tcW w:w="1829" w:type="pct"/>
            <w:tcBorders>
              <w:top w:val="single" w:color="auto" w:sz="8" w:space="0"/>
            </w:tcBorders>
            <w:shd w:val="clear" w:color="auto" w:fill="auto"/>
            <w:vAlign w:val="center"/>
          </w:tcPr>
          <w:p w14:paraId="60DB2A47">
            <w:pPr>
              <w:widowControl/>
              <w:jc w:val="left"/>
              <w:rPr>
                <w:szCs w:val="21"/>
              </w:rPr>
            </w:pPr>
            <w:r>
              <w:rPr>
                <w:color w:val="000000"/>
                <w:kern w:val="0"/>
                <w:szCs w:val="21"/>
                <w:lang w:bidi="ar"/>
              </w:rPr>
              <w:t>苗期：百株蚜量≥500头；</w:t>
            </w:r>
          </w:p>
          <w:p w14:paraId="52F1C16E">
            <w:pPr>
              <w:widowControl/>
              <w:jc w:val="left"/>
              <w:rPr>
                <w:bCs/>
                <w:color w:val="000000"/>
                <w:kern w:val="0"/>
                <w:szCs w:val="21"/>
                <w:lang w:bidi="ar"/>
              </w:rPr>
            </w:pPr>
            <w:r>
              <w:rPr>
                <w:color w:val="000000"/>
                <w:kern w:val="0"/>
                <w:szCs w:val="21"/>
                <w:lang w:bidi="ar"/>
              </w:rPr>
              <w:t>灌浆成熟期：百穗蚜量≥800头，益害比（天敌:蚜虫）低于1:150</w:t>
            </w:r>
          </w:p>
        </w:tc>
        <w:tc>
          <w:tcPr>
            <w:tcW w:w="2250" w:type="pct"/>
            <w:tcBorders>
              <w:top w:val="single" w:color="auto" w:sz="8" w:space="0"/>
            </w:tcBorders>
            <w:shd w:val="clear" w:color="auto" w:fill="auto"/>
            <w:vAlign w:val="center"/>
          </w:tcPr>
          <w:p w14:paraId="1F96786C">
            <w:pPr>
              <w:widowControl/>
              <w:jc w:val="left"/>
              <w:rPr>
                <w:bCs/>
                <w:color w:val="000000"/>
                <w:kern w:val="0"/>
                <w:szCs w:val="21"/>
                <w:lang w:bidi="ar"/>
              </w:rPr>
            </w:pPr>
            <w:r>
              <w:rPr>
                <w:color w:val="000000"/>
                <w:kern w:val="0"/>
                <w:szCs w:val="21"/>
                <w:lang w:bidi="ar"/>
              </w:rPr>
              <w:t>噻虫嗪、吡蚜酮、苦参碱、氟啶虫胺腈、抗蚜威均匀喷雾</w:t>
            </w:r>
          </w:p>
        </w:tc>
      </w:tr>
      <w:tr w14:paraId="623E6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8" w:hRule="atLeast"/>
          <w:jc w:val="center"/>
        </w:trPr>
        <w:tc>
          <w:tcPr>
            <w:tcW w:w="921" w:type="pct"/>
            <w:shd w:val="clear" w:color="auto" w:fill="auto"/>
            <w:vAlign w:val="center"/>
          </w:tcPr>
          <w:p w14:paraId="2C4A0EA2">
            <w:pPr>
              <w:widowControl/>
              <w:jc w:val="center"/>
              <w:rPr>
                <w:bCs/>
                <w:color w:val="000000"/>
                <w:kern w:val="0"/>
                <w:szCs w:val="21"/>
                <w:lang w:bidi="ar"/>
              </w:rPr>
            </w:pPr>
            <w:r>
              <w:rPr>
                <w:color w:val="000000"/>
                <w:kern w:val="0"/>
                <w:szCs w:val="21"/>
                <w:lang w:bidi="ar"/>
              </w:rPr>
              <w:t>红蜘蛛</w:t>
            </w:r>
          </w:p>
        </w:tc>
        <w:tc>
          <w:tcPr>
            <w:tcW w:w="1829" w:type="pct"/>
            <w:shd w:val="clear" w:color="auto" w:fill="auto"/>
            <w:vAlign w:val="center"/>
          </w:tcPr>
          <w:p w14:paraId="302020D0">
            <w:pPr>
              <w:widowControl/>
              <w:jc w:val="left"/>
              <w:rPr>
                <w:bCs/>
                <w:color w:val="000000"/>
                <w:kern w:val="0"/>
                <w:szCs w:val="21"/>
                <w:lang w:bidi="ar"/>
              </w:rPr>
            </w:pPr>
            <w:r>
              <w:rPr>
                <w:color w:val="000000"/>
                <w:kern w:val="0"/>
                <w:szCs w:val="21"/>
                <w:lang w:bidi="ar"/>
              </w:rPr>
              <w:t>33</w:t>
            </w:r>
            <w:r>
              <w:rPr>
                <w:rFonts w:eastAsia="MS Mincho"/>
                <w:color w:val="000000"/>
                <w:kern w:val="0"/>
                <w:szCs w:val="21"/>
                <w:lang w:bidi="ar"/>
              </w:rPr>
              <w:t> </w:t>
            </w:r>
            <w:r>
              <w:rPr>
                <w:color w:val="000000"/>
                <w:kern w:val="0"/>
                <w:szCs w:val="21"/>
                <w:lang w:bidi="ar"/>
              </w:rPr>
              <w:t>cm行长螨量200头</w:t>
            </w:r>
          </w:p>
        </w:tc>
        <w:tc>
          <w:tcPr>
            <w:tcW w:w="2250" w:type="pct"/>
            <w:shd w:val="clear" w:color="auto" w:fill="auto"/>
            <w:vAlign w:val="center"/>
          </w:tcPr>
          <w:p w14:paraId="5B979BBC">
            <w:pPr>
              <w:widowControl/>
              <w:jc w:val="left"/>
              <w:rPr>
                <w:bCs/>
                <w:color w:val="000000"/>
                <w:kern w:val="0"/>
                <w:szCs w:val="21"/>
                <w:lang w:bidi="ar"/>
              </w:rPr>
            </w:pPr>
            <w:r>
              <w:rPr>
                <w:color w:val="000000"/>
                <w:kern w:val="0"/>
                <w:szCs w:val="21"/>
                <w:lang w:bidi="ar"/>
              </w:rPr>
              <w:t>阿维菌素、唑酮、氧乐果</w:t>
            </w:r>
          </w:p>
        </w:tc>
      </w:tr>
    </w:tbl>
    <w:p w14:paraId="0E6019DA">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4.8</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主要</w:t>
      </w:r>
      <w:r>
        <w:rPr>
          <w:rFonts w:ascii="黑体" w:hAnsi="黑体" w:eastAsia="黑体"/>
          <w:color w:val="000000" w:themeColor="text1"/>
          <w14:textFill>
            <w14:solidFill>
              <w14:schemeClr w14:val="tx1"/>
            </w14:solidFill>
          </w14:textFill>
        </w:rPr>
        <w:t>病害防控</w:t>
      </w:r>
    </w:p>
    <w:p w14:paraId="17CC8475">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常见的病害主要有白粉病、纹枯病、锈病、茎基腐病、全蚀病、根腐病、赤霉病等。防治方法见表</w:t>
      </w:r>
      <w:r>
        <w:rPr>
          <w:rFonts w:ascii="Times New Roman"/>
          <w:color w:val="000000" w:themeColor="text1"/>
          <w14:textFill>
            <w14:solidFill>
              <w14:schemeClr w14:val="tx1"/>
            </w14:solidFill>
          </w14:textFill>
        </w:rPr>
        <w:t>4</w:t>
      </w:r>
      <w:r>
        <w:rPr>
          <w:rFonts w:hint="eastAsia" w:ascii="Times New Roman"/>
          <w:color w:val="000000" w:themeColor="text1"/>
          <w14:textFill>
            <w14:solidFill>
              <w14:schemeClr w14:val="tx1"/>
            </w14:solidFill>
          </w14:textFill>
        </w:rPr>
        <w:t>，防治药剂符合GB/T</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8321（所有部分）的要求。</w:t>
      </w:r>
    </w:p>
    <w:p w14:paraId="1C024231">
      <w:pPr>
        <w:widowControl/>
        <w:numPr>
          <w:ilvl w:val="255"/>
          <w:numId w:val="0"/>
        </w:numPr>
        <w:tabs>
          <w:tab w:val="left" w:pos="0"/>
        </w:tabs>
        <w:spacing w:before="156" w:beforeLines="50" w:after="156" w:afterLines="50"/>
        <w:jc w:val="center"/>
        <w:rPr>
          <w:rFonts w:ascii="黑体" w:eastAsia="黑体"/>
          <w:kern w:val="0"/>
          <w:szCs w:val="20"/>
        </w:rPr>
      </w:pPr>
      <w:r>
        <w:rPr>
          <w:rFonts w:hint="eastAsia" w:ascii="黑体" w:eastAsia="黑体"/>
          <w:kern w:val="0"/>
          <w:szCs w:val="20"/>
        </w:rPr>
        <w:t>表4 小麦主要病害及防治方法</w:t>
      </w:r>
    </w:p>
    <w:tbl>
      <w:tblPr>
        <w:tblStyle w:val="18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06"/>
        <w:gridCol w:w="2218"/>
        <w:gridCol w:w="4650"/>
      </w:tblGrid>
      <w:tr w14:paraId="2EF7E6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6" w:hRule="atLeast"/>
          <w:jc w:val="center"/>
        </w:trPr>
        <w:tc>
          <w:tcPr>
            <w:tcW w:w="1337" w:type="pct"/>
            <w:tcBorders>
              <w:top w:val="single" w:color="auto" w:sz="8" w:space="0"/>
              <w:bottom w:val="single" w:color="auto" w:sz="8" w:space="0"/>
            </w:tcBorders>
            <w:shd w:val="clear" w:color="auto" w:fill="auto"/>
            <w:vAlign w:val="center"/>
          </w:tcPr>
          <w:p w14:paraId="1DB2026F">
            <w:pPr>
              <w:widowControl/>
              <w:jc w:val="center"/>
              <w:rPr>
                <w:b/>
                <w:color w:val="000000"/>
                <w:kern w:val="0"/>
                <w:szCs w:val="21"/>
                <w:lang w:bidi="ar"/>
              </w:rPr>
            </w:pPr>
            <w:r>
              <w:rPr>
                <w:b/>
                <w:color w:val="000000"/>
                <w:kern w:val="0"/>
                <w:szCs w:val="21"/>
                <w:lang w:bidi="ar"/>
              </w:rPr>
              <w:t>主要防治对象</w:t>
            </w:r>
          </w:p>
        </w:tc>
        <w:tc>
          <w:tcPr>
            <w:tcW w:w="1183" w:type="pct"/>
            <w:tcBorders>
              <w:top w:val="single" w:color="auto" w:sz="8" w:space="0"/>
              <w:bottom w:val="single" w:color="auto" w:sz="8" w:space="0"/>
            </w:tcBorders>
            <w:shd w:val="clear" w:color="auto" w:fill="auto"/>
            <w:vAlign w:val="center"/>
          </w:tcPr>
          <w:p w14:paraId="51140B61">
            <w:pPr>
              <w:widowControl/>
              <w:jc w:val="center"/>
              <w:rPr>
                <w:b/>
                <w:color w:val="000000"/>
                <w:kern w:val="0"/>
                <w:szCs w:val="21"/>
                <w:lang w:bidi="ar"/>
              </w:rPr>
            </w:pPr>
            <w:r>
              <w:rPr>
                <w:b/>
                <w:color w:val="000000"/>
                <w:kern w:val="0"/>
                <w:szCs w:val="21"/>
                <w:lang w:bidi="ar"/>
              </w:rPr>
              <w:t>防治指标</w:t>
            </w:r>
          </w:p>
        </w:tc>
        <w:tc>
          <w:tcPr>
            <w:tcW w:w="2480" w:type="pct"/>
            <w:tcBorders>
              <w:top w:val="single" w:color="auto" w:sz="8" w:space="0"/>
              <w:bottom w:val="single" w:color="auto" w:sz="8" w:space="0"/>
            </w:tcBorders>
            <w:shd w:val="clear" w:color="auto" w:fill="auto"/>
            <w:vAlign w:val="center"/>
          </w:tcPr>
          <w:p w14:paraId="090564C7">
            <w:pPr>
              <w:widowControl/>
              <w:jc w:val="center"/>
              <w:rPr>
                <w:b/>
                <w:color w:val="000000"/>
                <w:kern w:val="0"/>
                <w:szCs w:val="21"/>
                <w:lang w:bidi="ar"/>
              </w:rPr>
            </w:pPr>
            <w:r>
              <w:rPr>
                <w:b/>
                <w:color w:val="000000"/>
                <w:kern w:val="0"/>
                <w:szCs w:val="21"/>
                <w:lang w:bidi="ar"/>
              </w:rPr>
              <w:t>防治药剂主要成分及方法</w:t>
            </w:r>
          </w:p>
        </w:tc>
      </w:tr>
      <w:tr w14:paraId="1757DA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7" w:type="pct"/>
            <w:tcBorders>
              <w:top w:val="single" w:color="auto" w:sz="8" w:space="0"/>
            </w:tcBorders>
            <w:shd w:val="clear" w:color="auto" w:fill="auto"/>
            <w:vAlign w:val="center"/>
          </w:tcPr>
          <w:p w14:paraId="774A36A3">
            <w:pPr>
              <w:widowControl/>
              <w:jc w:val="center"/>
              <w:rPr>
                <w:bCs/>
                <w:color w:val="000000"/>
                <w:kern w:val="0"/>
                <w:szCs w:val="21"/>
                <w:lang w:bidi="ar"/>
              </w:rPr>
            </w:pPr>
            <w:r>
              <w:rPr>
                <w:color w:val="000000"/>
                <w:kern w:val="0"/>
                <w:szCs w:val="21"/>
                <w:lang w:bidi="ar"/>
              </w:rPr>
              <w:t>纹枯病</w:t>
            </w:r>
          </w:p>
        </w:tc>
        <w:tc>
          <w:tcPr>
            <w:tcW w:w="1183" w:type="pct"/>
            <w:tcBorders>
              <w:top w:val="single" w:color="auto" w:sz="8" w:space="0"/>
            </w:tcBorders>
            <w:shd w:val="clear" w:color="auto" w:fill="auto"/>
            <w:vAlign w:val="center"/>
          </w:tcPr>
          <w:p w14:paraId="751F0D4A">
            <w:pPr>
              <w:widowControl/>
              <w:jc w:val="center"/>
              <w:rPr>
                <w:bCs/>
                <w:color w:val="000000"/>
                <w:kern w:val="0"/>
                <w:szCs w:val="21"/>
                <w:lang w:bidi="ar"/>
              </w:rPr>
            </w:pPr>
            <w:r>
              <w:rPr>
                <w:color w:val="000000"/>
                <w:kern w:val="0"/>
                <w:szCs w:val="21"/>
                <w:lang w:bidi="ar"/>
              </w:rPr>
              <w:t>病株率10</w:t>
            </w:r>
            <w:r>
              <w:rPr>
                <w:rFonts w:eastAsia="MS Mincho"/>
                <w:color w:val="000000"/>
                <w:kern w:val="0"/>
                <w:szCs w:val="21"/>
                <w:lang w:bidi="ar"/>
              </w:rPr>
              <w:t> </w:t>
            </w:r>
            <w:r>
              <w:rPr>
                <w:color w:val="000000"/>
                <w:kern w:val="0"/>
                <w:szCs w:val="21"/>
                <w:lang w:bidi="ar"/>
              </w:rPr>
              <w:t>%</w:t>
            </w:r>
          </w:p>
        </w:tc>
        <w:tc>
          <w:tcPr>
            <w:tcW w:w="2480" w:type="pct"/>
            <w:tcBorders>
              <w:top w:val="single" w:color="auto" w:sz="8" w:space="0"/>
            </w:tcBorders>
            <w:shd w:val="clear" w:color="auto" w:fill="auto"/>
            <w:vAlign w:val="center"/>
          </w:tcPr>
          <w:p w14:paraId="434DB64F">
            <w:pPr>
              <w:widowControl/>
              <w:jc w:val="center"/>
              <w:rPr>
                <w:bCs/>
                <w:color w:val="000000"/>
                <w:kern w:val="0"/>
                <w:szCs w:val="21"/>
                <w:lang w:bidi="ar"/>
              </w:rPr>
            </w:pPr>
            <w:r>
              <w:rPr>
                <w:color w:val="000000"/>
                <w:kern w:val="0"/>
                <w:szCs w:val="21"/>
                <w:lang w:bidi="ar"/>
              </w:rPr>
              <w:t>井冈霉素、噻呋酰胺</w:t>
            </w:r>
          </w:p>
        </w:tc>
      </w:tr>
      <w:tr w14:paraId="1360B0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7" w:type="pct"/>
            <w:shd w:val="clear" w:color="auto" w:fill="auto"/>
            <w:vAlign w:val="center"/>
          </w:tcPr>
          <w:p w14:paraId="205BC1A2">
            <w:pPr>
              <w:widowControl/>
              <w:jc w:val="center"/>
              <w:rPr>
                <w:bCs/>
                <w:color w:val="000000"/>
                <w:kern w:val="0"/>
                <w:szCs w:val="21"/>
                <w:lang w:bidi="ar"/>
              </w:rPr>
            </w:pPr>
            <w:r>
              <w:rPr>
                <w:color w:val="000000"/>
                <w:kern w:val="0"/>
                <w:szCs w:val="21"/>
                <w:lang w:bidi="ar"/>
              </w:rPr>
              <w:t>茎基腐病</w:t>
            </w:r>
          </w:p>
        </w:tc>
        <w:tc>
          <w:tcPr>
            <w:tcW w:w="1183" w:type="pct"/>
            <w:shd w:val="clear" w:color="auto" w:fill="auto"/>
            <w:vAlign w:val="center"/>
          </w:tcPr>
          <w:p w14:paraId="7B20202A">
            <w:pPr>
              <w:widowControl/>
              <w:jc w:val="center"/>
              <w:rPr>
                <w:bCs/>
                <w:color w:val="000000"/>
                <w:kern w:val="0"/>
                <w:szCs w:val="21"/>
                <w:lang w:bidi="ar"/>
              </w:rPr>
            </w:pPr>
            <w:r>
              <w:rPr>
                <w:bCs/>
                <w:color w:val="000000"/>
                <w:kern w:val="0"/>
                <w:szCs w:val="21"/>
                <w:lang w:bidi="ar"/>
              </w:rPr>
              <w:t>—</w:t>
            </w:r>
          </w:p>
        </w:tc>
        <w:tc>
          <w:tcPr>
            <w:tcW w:w="2480" w:type="pct"/>
            <w:shd w:val="clear" w:color="auto" w:fill="auto"/>
            <w:vAlign w:val="center"/>
          </w:tcPr>
          <w:p w14:paraId="1A7EF3EE">
            <w:pPr>
              <w:widowControl/>
              <w:jc w:val="center"/>
              <w:rPr>
                <w:bCs/>
                <w:color w:val="000000"/>
                <w:kern w:val="0"/>
                <w:szCs w:val="21"/>
                <w:lang w:bidi="ar"/>
              </w:rPr>
            </w:pPr>
            <w:r>
              <w:rPr>
                <w:color w:val="000000"/>
                <w:kern w:val="0"/>
                <w:szCs w:val="21"/>
                <w:lang w:bidi="ar"/>
              </w:rPr>
              <w:t>苯醚甲环唑、戊唑醇、咯菌</w:t>
            </w:r>
          </w:p>
        </w:tc>
      </w:tr>
      <w:tr w14:paraId="0F210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7" w:type="pct"/>
            <w:shd w:val="clear" w:color="auto" w:fill="auto"/>
            <w:vAlign w:val="center"/>
          </w:tcPr>
          <w:p w14:paraId="7F70482A">
            <w:pPr>
              <w:widowControl/>
              <w:jc w:val="center"/>
              <w:rPr>
                <w:bCs/>
                <w:color w:val="000000"/>
                <w:kern w:val="0"/>
                <w:szCs w:val="21"/>
                <w:lang w:bidi="ar"/>
              </w:rPr>
            </w:pPr>
            <w:r>
              <w:rPr>
                <w:color w:val="000000"/>
                <w:kern w:val="0"/>
                <w:szCs w:val="21"/>
                <w:lang w:bidi="ar"/>
              </w:rPr>
              <w:t>条锈病</w:t>
            </w:r>
          </w:p>
        </w:tc>
        <w:tc>
          <w:tcPr>
            <w:tcW w:w="1183" w:type="pct"/>
            <w:shd w:val="clear" w:color="auto" w:fill="auto"/>
            <w:vAlign w:val="center"/>
          </w:tcPr>
          <w:p w14:paraId="118D6BD2">
            <w:pPr>
              <w:widowControl/>
              <w:jc w:val="center"/>
              <w:rPr>
                <w:bCs/>
                <w:color w:val="000000"/>
                <w:kern w:val="0"/>
                <w:szCs w:val="21"/>
                <w:lang w:bidi="ar"/>
              </w:rPr>
            </w:pPr>
            <w:r>
              <w:rPr>
                <w:color w:val="000000"/>
                <w:kern w:val="0"/>
                <w:szCs w:val="21"/>
                <w:lang w:bidi="ar"/>
              </w:rPr>
              <w:t>病叶率0.5</w:t>
            </w:r>
            <w:r>
              <w:rPr>
                <w:rFonts w:eastAsia="MS Mincho"/>
                <w:color w:val="000000"/>
                <w:kern w:val="0"/>
                <w:szCs w:val="21"/>
                <w:lang w:bidi="ar"/>
              </w:rPr>
              <w:t> </w:t>
            </w:r>
            <w:r>
              <w:rPr>
                <w:color w:val="000000"/>
                <w:kern w:val="0"/>
                <w:szCs w:val="21"/>
                <w:lang w:bidi="ar"/>
              </w:rPr>
              <w:t>%</w:t>
            </w:r>
          </w:p>
        </w:tc>
        <w:tc>
          <w:tcPr>
            <w:tcW w:w="2480" w:type="pct"/>
            <w:shd w:val="clear" w:color="auto" w:fill="auto"/>
            <w:vAlign w:val="center"/>
          </w:tcPr>
          <w:p w14:paraId="796E14CD">
            <w:pPr>
              <w:widowControl/>
              <w:jc w:val="center"/>
              <w:rPr>
                <w:bCs/>
                <w:color w:val="000000"/>
                <w:kern w:val="0"/>
                <w:szCs w:val="21"/>
                <w:lang w:bidi="ar"/>
              </w:rPr>
            </w:pPr>
            <w:r>
              <w:rPr>
                <w:color w:val="000000"/>
                <w:kern w:val="0"/>
                <w:szCs w:val="21"/>
                <w:lang w:bidi="ar"/>
              </w:rPr>
              <w:t>三唑酮、己唑醇、丙环唑</w:t>
            </w:r>
          </w:p>
        </w:tc>
      </w:tr>
      <w:tr w14:paraId="12E2F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7" w:type="pct"/>
            <w:shd w:val="clear" w:color="auto" w:fill="auto"/>
            <w:vAlign w:val="center"/>
          </w:tcPr>
          <w:p w14:paraId="0045221E">
            <w:pPr>
              <w:widowControl/>
              <w:jc w:val="center"/>
              <w:rPr>
                <w:color w:val="000000"/>
                <w:kern w:val="0"/>
                <w:szCs w:val="21"/>
                <w:lang w:bidi="ar"/>
              </w:rPr>
            </w:pPr>
            <w:r>
              <w:rPr>
                <w:color w:val="000000"/>
                <w:kern w:val="0"/>
                <w:szCs w:val="21"/>
                <w:lang w:bidi="ar"/>
              </w:rPr>
              <w:t>叶锈病</w:t>
            </w:r>
          </w:p>
        </w:tc>
        <w:tc>
          <w:tcPr>
            <w:tcW w:w="1183" w:type="pct"/>
            <w:shd w:val="clear" w:color="auto" w:fill="auto"/>
            <w:vAlign w:val="center"/>
          </w:tcPr>
          <w:p w14:paraId="773A8C99">
            <w:pPr>
              <w:widowControl/>
              <w:jc w:val="center"/>
              <w:rPr>
                <w:color w:val="000000"/>
                <w:kern w:val="0"/>
                <w:szCs w:val="21"/>
                <w:lang w:bidi="ar"/>
              </w:rPr>
            </w:pPr>
            <w:r>
              <w:rPr>
                <w:color w:val="000000"/>
                <w:kern w:val="0"/>
                <w:szCs w:val="21"/>
                <w:lang w:bidi="ar"/>
              </w:rPr>
              <w:t>病叶率5</w:t>
            </w:r>
            <w:r>
              <w:rPr>
                <w:rFonts w:eastAsia="MS Mincho"/>
                <w:color w:val="000000"/>
                <w:kern w:val="0"/>
                <w:szCs w:val="21"/>
                <w:lang w:bidi="ar"/>
              </w:rPr>
              <w:t> </w:t>
            </w:r>
            <w:r>
              <w:rPr>
                <w:color w:val="000000"/>
                <w:kern w:val="0"/>
                <w:szCs w:val="21"/>
                <w:lang w:bidi="ar"/>
              </w:rPr>
              <w:t>%</w:t>
            </w:r>
          </w:p>
        </w:tc>
        <w:tc>
          <w:tcPr>
            <w:tcW w:w="2480" w:type="pct"/>
            <w:shd w:val="clear" w:color="auto" w:fill="auto"/>
            <w:vAlign w:val="center"/>
          </w:tcPr>
          <w:p w14:paraId="1C30B02A">
            <w:pPr>
              <w:widowControl/>
              <w:jc w:val="center"/>
              <w:rPr>
                <w:color w:val="000000"/>
                <w:kern w:val="0"/>
                <w:szCs w:val="21"/>
                <w:lang w:bidi="ar"/>
              </w:rPr>
            </w:pPr>
            <w:r>
              <w:rPr>
                <w:color w:val="000000"/>
                <w:kern w:val="0"/>
                <w:szCs w:val="21"/>
                <w:lang w:bidi="ar"/>
              </w:rPr>
              <w:t>百菌清、戊唑醇，叶片喷雾</w:t>
            </w:r>
          </w:p>
        </w:tc>
      </w:tr>
      <w:tr w14:paraId="40F95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7" w:type="pct"/>
            <w:shd w:val="clear" w:color="auto" w:fill="auto"/>
            <w:vAlign w:val="center"/>
          </w:tcPr>
          <w:p w14:paraId="272CB120">
            <w:pPr>
              <w:widowControl/>
              <w:jc w:val="center"/>
              <w:rPr>
                <w:color w:val="000000"/>
                <w:kern w:val="0"/>
                <w:szCs w:val="21"/>
                <w:lang w:bidi="ar"/>
              </w:rPr>
            </w:pPr>
            <w:r>
              <w:rPr>
                <w:color w:val="000000"/>
                <w:kern w:val="0"/>
                <w:szCs w:val="21"/>
                <w:lang w:bidi="ar"/>
              </w:rPr>
              <w:t>白粉病</w:t>
            </w:r>
          </w:p>
        </w:tc>
        <w:tc>
          <w:tcPr>
            <w:tcW w:w="1183" w:type="pct"/>
            <w:shd w:val="clear" w:color="auto" w:fill="auto"/>
            <w:vAlign w:val="center"/>
          </w:tcPr>
          <w:p w14:paraId="7893E413">
            <w:pPr>
              <w:widowControl/>
              <w:jc w:val="center"/>
              <w:rPr>
                <w:color w:val="000000"/>
                <w:kern w:val="0"/>
                <w:szCs w:val="21"/>
                <w:lang w:bidi="ar"/>
              </w:rPr>
            </w:pPr>
            <w:r>
              <w:rPr>
                <w:color w:val="000000"/>
                <w:kern w:val="0"/>
                <w:szCs w:val="21"/>
                <w:lang w:bidi="ar"/>
              </w:rPr>
              <w:t>病叶率10</w:t>
            </w:r>
            <w:r>
              <w:rPr>
                <w:rFonts w:eastAsia="MS Mincho"/>
                <w:color w:val="000000"/>
                <w:kern w:val="0"/>
                <w:szCs w:val="21"/>
                <w:lang w:bidi="ar"/>
              </w:rPr>
              <w:t> </w:t>
            </w:r>
            <w:r>
              <w:rPr>
                <w:color w:val="000000"/>
                <w:kern w:val="0"/>
                <w:szCs w:val="21"/>
                <w:lang w:bidi="ar"/>
              </w:rPr>
              <w:t>%</w:t>
            </w:r>
          </w:p>
        </w:tc>
        <w:tc>
          <w:tcPr>
            <w:tcW w:w="2480" w:type="pct"/>
            <w:shd w:val="clear" w:color="auto" w:fill="auto"/>
            <w:vAlign w:val="center"/>
          </w:tcPr>
          <w:p w14:paraId="5CA1A9BB">
            <w:pPr>
              <w:widowControl/>
              <w:jc w:val="center"/>
              <w:rPr>
                <w:color w:val="000000"/>
                <w:kern w:val="0"/>
                <w:szCs w:val="21"/>
                <w:lang w:bidi="ar"/>
              </w:rPr>
            </w:pPr>
            <w:r>
              <w:rPr>
                <w:color w:val="000000"/>
                <w:kern w:val="0"/>
                <w:szCs w:val="21"/>
                <w:lang w:bidi="ar"/>
              </w:rPr>
              <w:t>吡唑醚菌酯</w:t>
            </w:r>
          </w:p>
        </w:tc>
      </w:tr>
      <w:tr w14:paraId="30CAF6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7" w:type="pct"/>
            <w:shd w:val="clear" w:color="auto" w:fill="auto"/>
            <w:vAlign w:val="center"/>
          </w:tcPr>
          <w:p w14:paraId="395C88BC">
            <w:pPr>
              <w:widowControl/>
              <w:jc w:val="center"/>
              <w:rPr>
                <w:color w:val="000000"/>
                <w:kern w:val="0"/>
                <w:szCs w:val="21"/>
                <w:lang w:bidi="ar"/>
              </w:rPr>
            </w:pPr>
            <w:r>
              <w:rPr>
                <w:color w:val="000000"/>
                <w:kern w:val="0"/>
                <w:szCs w:val="21"/>
                <w:lang w:bidi="ar"/>
              </w:rPr>
              <w:t>赤霉病</w:t>
            </w:r>
          </w:p>
        </w:tc>
        <w:tc>
          <w:tcPr>
            <w:tcW w:w="1183" w:type="pct"/>
            <w:shd w:val="clear" w:color="auto" w:fill="auto"/>
            <w:vAlign w:val="center"/>
          </w:tcPr>
          <w:p w14:paraId="2DF66FC9">
            <w:pPr>
              <w:widowControl/>
              <w:jc w:val="center"/>
              <w:rPr>
                <w:color w:val="000000"/>
                <w:kern w:val="0"/>
                <w:szCs w:val="21"/>
                <w:lang w:bidi="ar"/>
              </w:rPr>
            </w:pPr>
            <w:r>
              <w:rPr>
                <w:color w:val="000000"/>
                <w:kern w:val="0"/>
                <w:szCs w:val="21"/>
                <w:lang w:bidi="ar"/>
              </w:rPr>
              <w:t>—</w:t>
            </w:r>
          </w:p>
        </w:tc>
        <w:tc>
          <w:tcPr>
            <w:tcW w:w="2480" w:type="pct"/>
            <w:shd w:val="clear" w:color="auto" w:fill="auto"/>
            <w:vAlign w:val="center"/>
          </w:tcPr>
          <w:p w14:paraId="622B438A">
            <w:pPr>
              <w:widowControl/>
              <w:jc w:val="center"/>
              <w:rPr>
                <w:color w:val="000000"/>
                <w:kern w:val="0"/>
                <w:szCs w:val="21"/>
                <w:lang w:bidi="ar"/>
              </w:rPr>
            </w:pPr>
            <w:r>
              <w:rPr>
                <w:color w:val="000000"/>
                <w:kern w:val="0"/>
                <w:szCs w:val="21"/>
                <w:lang w:bidi="ar"/>
              </w:rPr>
              <w:t>咪鲜胺、氰烯菌酯，喷雾</w:t>
            </w:r>
          </w:p>
        </w:tc>
      </w:tr>
    </w:tbl>
    <w:p w14:paraId="75709EBE">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.4.</w:t>
      </w:r>
      <w:r>
        <w:rPr>
          <w:rFonts w:ascii="黑体" w:hAnsi="黑体" w:eastAsia="黑体"/>
          <w:color w:val="000000" w:themeColor="text1"/>
          <w14:textFill>
            <w14:solidFill>
              <w14:schemeClr w14:val="tx1"/>
            </w14:solidFill>
          </w14:textFill>
        </w:rPr>
        <w:t>9</w:t>
      </w:r>
      <w:r>
        <w:rPr>
          <w:rFonts w:hint="eastAsia" w:ascii="黑体" w:hAnsi="黑体" w:eastAsia="黑体"/>
          <w:color w:val="000000" w:themeColor="text1"/>
          <w14:textFill>
            <w14:solidFill>
              <w14:schemeClr w14:val="tx1"/>
            </w14:solidFill>
          </w14:textFill>
        </w:rPr>
        <w:t xml:space="preserve"> 一喷三防</w:t>
      </w:r>
    </w:p>
    <w:p w14:paraId="7C86D063">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在小麦生长中后期（抽穗扬花至灌浆期），将杀虫剂、杀菌剂、植物生长调节剂（叶面肥等）等科学混配后一次性喷施，在用药减少1</w:t>
      </w: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2次的基础上，达到防病、防虫、防干热风、防早衰，实现节本增效。</w:t>
      </w:r>
    </w:p>
    <w:p w14:paraId="5AF55F6C">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4.</w:t>
      </w:r>
      <w:r>
        <w:rPr>
          <w:rFonts w:ascii="黑体" w:hAnsi="黑体" w:eastAsia="黑体"/>
          <w:color w:val="000000" w:themeColor="text1"/>
          <w14:textFill>
            <w14:solidFill>
              <w14:schemeClr w14:val="tx1"/>
            </w14:solidFill>
          </w14:textFill>
        </w:rPr>
        <w:t>10 耙地边作业</w:t>
      </w:r>
    </w:p>
    <w:p w14:paraId="125A9D03">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将地边杂草</w:t>
      </w:r>
      <w:r>
        <w:rPr>
          <w:rFonts w:hint="eastAsia" w:ascii="Times New Roman"/>
          <w:color w:val="000000" w:themeColor="text1"/>
          <w14:textFill>
            <w14:solidFill>
              <w14:schemeClr w14:val="tx1"/>
            </w14:solidFill>
          </w14:textFill>
        </w:rPr>
        <w:t>耙净</w:t>
      </w:r>
      <w:r>
        <w:rPr>
          <w:rFonts w:ascii="Times New Roman"/>
          <w:color w:val="000000" w:themeColor="text1"/>
          <w14:textFill>
            <w14:solidFill>
              <w14:schemeClr w14:val="tx1"/>
            </w14:solidFill>
          </w14:textFill>
        </w:rPr>
        <w:t>，建立田地与草地隔离带，防止草籽进入田间</w:t>
      </w:r>
      <w:r>
        <w:rPr>
          <w:rFonts w:hint="eastAsia" w:ascii="Times New Roman"/>
          <w:color w:val="000000" w:themeColor="text1"/>
          <w14:textFill>
            <w14:solidFill>
              <w14:schemeClr w14:val="tx1"/>
            </w14:solidFill>
          </w14:textFill>
        </w:rPr>
        <w:t>，也避免害虫在杂草上产卵</w:t>
      </w:r>
      <w:r>
        <w:rPr>
          <w:rFonts w:ascii="Times New Roman"/>
          <w:color w:val="000000" w:themeColor="text1"/>
          <w14:textFill>
            <w14:solidFill>
              <w14:schemeClr w14:val="tx1"/>
            </w14:solidFill>
          </w14:textFill>
        </w:rPr>
        <w:t>。</w:t>
      </w:r>
    </w:p>
    <w:p w14:paraId="39462959">
      <w:pPr>
        <w:pStyle w:val="52"/>
        <w:numPr>
          <w:ilvl w:val="1"/>
          <w:numId w:val="0"/>
        </w:numPr>
        <w:spacing w:before="156" w:after="156"/>
        <w:ind w:firstLine="420" w:firstLineChars="200"/>
      </w:pPr>
      <w:r>
        <w:t>5</w:t>
      </w:r>
      <w:r>
        <w:rPr>
          <w:rFonts w:hint="eastAsia"/>
        </w:rPr>
        <w:t>.5</w:t>
      </w:r>
      <w:r>
        <w:t xml:space="preserve"> </w:t>
      </w:r>
      <w:r>
        <w:rPr>
          <w:rFonts w:hint="eastAsia"/>
        </w:rPr>
        <w:t>气候韧性提升减损</w:t>
      </w:r>
    </w:p>
    <w:p w14:paraId="53AD0A15">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.5.1 防旱排涝</w:t>
      </w:r>
    </w:p>
    <w:p w14:paraId="30689DCC">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完善田间基本设施，提高基本农田质量，</w:t>
      </w:r>
      <w:r>
        <w:rPr>
          <w:rFonts w:hint="eastAsia" w:ascii="Times New Roman"/>
          <w:color w:val="000000" w:themeColor="text1"/>
          <w14:textFill>
            <w14:solidFill>
              <w14:schemeClr w14:val="tx1"/>
            </w14:solidFill>
          </w14:textFill>
        </w:rPr>
        <w:t>科学设计沟渠，充分利用地表水，同时对低洼地、内涝地要挖好排水沟，做到旱能浇涝能排。符合</w:t>
      </w:r>
      <w:r>
        <w:rPr>
          <w:rFonts w:ascii="Times New Roman"/>
          <w:color w:val="000000" w:themeColor="text1"/>
          <w14:textFill>
            <w14:solidFill>
              <w14:schemeClr w14:val="tx1"/>
            </w14:solidFill>
          </w14:textFill>
        </w:rPr>
        <w:t>GB/T 30600-2022</w:t>
      </w:r>
      <w:r>
        <w:rPr>
          <w:rFonts w:hint="eastAsia" w:ascii="Times New Roman"/>
          <w:color w:val="000000" w:themeColor="text1"/>
          <w14:textFill>
            <w14:solidFill>
              <w14:schemeClr w14:val="tx1"/>
            </w14:solidFill>
          </w14:textFill>
        </w:rPr>
        <w:t>高标准农田建设通则。</w:t>
      </w:r>
    </w:p>
    <w:p w14:paraId="387A709A">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.5.2 防风固沙</w:t>
      </w:r>
    </w:p>
    <w:p w14:paraId="4C3EA773">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机械镇压划锄，进行保护性耕作，春小麦收获后秸秆覆盖，不进行整地，降低土壤风蚀等损失，防止出现扬尘灾害。</w:t>
      </w:r>
    </w:p>
    <w:p w14:paraId="1AAAC903">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.5.3 适温抢墒</w:t>
      </w:r>
    </w:p>
    <w:p w14:paraId="24EE3096">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结合气温和降水，要适时抢墒播种，避免浇蒙头水，节水保苗。对长势过旺地块要控水控肥，避免贪青晚熟。关注天气预报，灌浆后期如遇连续阴雨天，要提前做好促熟和早收准备。</w:t>
      </w:r>
    </w:p>
    <w:p w14:paraId="32595B05">
      <w:pPr>
        <w:pStyle w:val="52"/>
        <w:numPr>
          <w:ilvl w:val="1"/>
          <w:numId w:val="0"/>
        </w:numPr>
        <w:spacing w:before="156" w:after="156"/>
        <w:ind w:firstLine="420" w:firstLineChars="200"/>
      </w:pPr>
      <w:r>
        <w:t>5</w:t>
      </w:r>
      <w:r>
        <w:rPr>
          <w:rFonts w:hint="eastAsia"/>
        </w:rPr>
        <w:t>.6</w:t>
      </w:r>
      <w:r>
        <w:t xml:space="preserve"> </w:t>
      </w:r>
      <w:r>
        <w:rPr>
          <w:rFonts w:hint="eastAsia"/>
        </w:rPr>
        <w:t>收获减损</w:t>
      </w:r>
    </w:p>
    <w:p w14:paraId="290594CD">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1</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分段收获</w:t>
      </w:r>
    </w:p>
    <w:p w14:paraId="562A48F9">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在蜡熟中期割晒，要求安装散铺器，割茬高度15</w:t>
      </w:r>
      <w:r>
        <w:rPr>
          <w:rFonts w:hint="eastAsia" w:ascii="Times New Roman"/>
          <w:color w:val="000000" w:themeColor="text1"/>
          <w14:textFill>
            <w14:solidFill>
              <w14:schemeClr w14:val="tx1"/>
            </w14:solidFill>
          </w14:textFill>
        </w:rPr>
        <w:t>cm-</w:t>
      </w:r>
      <w:r>
        <w:rPr>
          <w:rFonts w:ascii="Times New Roman"/>
          <w:color w:val="000000" w:themeColor="text1"/>
          <w14:textFill>
            <w14:solidFill>
              <w14:schemeClr w14:val="tx1"/>
            </w14:solidFill>
          </w14:textFill>
        </w:rPr>
        <w:t>20cm，放铺均匀不积堆；籽粒水分降到18%以下进行拾禾作业，要求脱粒干净，不跑粮漏粮，田间综合损失率不超过1%。</w:t>
      </w:r>
    </w:p>
    <w:p w14:paraId="2F3E63C1">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.2</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联合收获</w:t>
      </w:r>
    </w:p>
    <w:p w14:paraId="0785C127">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小麦蜡熟末期的长相为植株叶片枯黄，茎秆尚有弹性，籽粒颜色接近本品种固有光泽，为最佳收获期，可有效降低机收损失率。收获时，为避免品种混杂，影响小麦品质，收割机械必须彻底清扫后方可进入田间作业。</w:t>
      </w:r>
    </w:p>
    <w:p w14:paraId="314FA712">
      <w:pPr>
        <w:pStyle w:val="52"/>
        <w:numPr>
          <w:ilvl w:val="1"/>
          <w:numId w:val="0"/>
        </w:numPr>
        <w:spacing w:before="156" w:after="156"/>
        <w:ind w:firstLine="420" w:firstLineChars="200"/>
      </w:pPr>
      <w:r>
        <w:t>5</w:t>
      </w:r>
      <w:r>
        <w:rPr>
          <w:rFonts w:hint="eastAsia"/>
        </w:rPr>
        <w:t>.7</w:t>
      </w:r>
      <w:r>
        <w:t xml:space="preserve"> </w:t>
      </w:r>
      <w:r>
        <w:rPr>
          <w:rFonts w:hint="eastAsia"/>
        </w:rPr>
        <w:t>烘干管</w:t>
      </w:r>
      <w:r>
        <w:t>理减损</w:t>
      </w:r>
    </w:p>
    <w:p w14:paraId="57C93654">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.7.1</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规划区域</w:t>
      </w:r>
    </w:p>
    <w:p w14:paraId="5D3617B8">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提前规划好各品种晾晒存放区域，并建好隔离带，在指定地点卸车，在晾晒、精选、倒运、存放的各环节中要杜绝混杂。</w:t>
      </w:r>
    </w:p>
    <w:p w14:paraId="7F38DA90">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.7</w:t>
      </w:r>
      <w:r>
        <w:rPr>
          <w:rFonts w:ascii="黑体" w:hAnsi="黑体" w:eastAsia="黑体"/>
          <w:color w:val="000000" w:themeColor="text1"/>
          <w14:textFill>
            <w14:solidFill>
              <w14:schemeClr w14:val="tx1"/>
            </w14:solidFill>
          </w14:textFill>
        </w:rPr>
        <w:t>.</w:t>
      </w:r>
      <w:r>
        <w:rPr>
          <w:rFonts w:hint="eastAsia" w:ascii="黑体" w:hAnsi="黑体" w:eastAsia="黑体"/>
          <w:color w:val="000000" w:themeColor="text1"/>
          <w14:textFill>
            <w14:solidFill>
              <w14:schemeClr w14:val="tx1"/>
            </w14:solidFill>
          </w14:textFill>
        </w:rPr>
        <w:t>2</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晾晒/烘干</w:t>
      </w:r>
    </w:p>
    <w:p w14:paraId="4325B5A8">
      <w:pPr>
        <w:pStyle w:val="2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如秋季多雨，将</w:t>
      </w:r>
      <w:r>
        <w:rPr>
          <w:rFonts w:hint="eastAsia" w:ascii="Times New Roman"/>
          <w:color w:val="000000" w:themeColor="text1"/>
          <w14:textFill>
            <w14:solidFill>
              <w14:schemeClr w14:val="tx1"/>
            </w14:solidFill>
          </w14:textFill>
        </w:rPr>
        <w:t>小麦通过除杂清理、在烘干塔烘至水分20%以下，即可进入风干仓通</w:t>
      </w:r>
      <w:r>
        <w:rPr>
          <w:rFonts w:ascii="Times New Roman"/>
          <w:color w:val="000000" w:themeColor="text1"/>
          <w14:textFill>
            <w14:solidFill>
              <w14:schemeClr w14:val="tx1"/>
            </w14:solidFill>
          </w14:textFill>
        </w:rPr>
        <w:t>风降水临时存放；水分在16%</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19%</w:t>
      </w:r>
      <w:r>
        <w:rPr>
          <w:rFonts w:hint="eastAsia" w:ascii="Times New Roman"/>
          <w:color w:val="000000" w:themeColor="text1"/>
          <w14:textFill>
            <w14:solidFill>
              <w14:schemeClr w14:val="tx1"/>
            </w14:solidFill>
          </w14:textFill>
        </w:rPr>
        <w:t>的籽粒</w:t>
      </w:r>
      <w:r>
        <w:rPr>
          <w:rFonts w:ascii="Times New Roman"/>
          <w:color w:val="000000" w:themeColor="text1"/>
          <w14:textFill>
            <w14:solidFill>
              <w14:schemeClr w14:val="tx1"/>
            </w14:solidFill>
          </w14:textFill>
        </w:rPr>
        <w:t>经过除杂</w:t>
      </w:r>
      <w:r>
        <w:rPr>
          <w:rFonts w:hint="eastAsia" w:ascii="Times New Roman"/>
          <w:color w:val="000000" w:themeColor="text1"/>
          <w14:textFill>
            <w14:solidFill>
              <w14:schemeClr w14:val="tx1"/>
            </w14:solidFill>
          </w14:textFill>
        </w:rPr>
        <w:t>清理</w:t>
      </w:r>
      <w:r>
        <w:rPr>
          <w:rFonts w:ascii="Times New Roman"/>
          <w:color w:val="000000" w:themeColor="text1"/>
          <w14:textFill>
            <w14:solidFill>
              <w14:schemeClr w14:val="tx1"/>
            </w14:solidFill>
          </w14:textFill>
        </w:rPr>
        <w:t>直接进入风干仓通风降水，最后根据天气情况集中晾晒或烘干，最大程度的保证</w:t>
      </w:r>
      <w:r>
        <w:rPr>
          <w:rFonts w:hint="eastAsia" w:ascii="Times New Roman"/>
          <w:color w:val="000000" w:themeColor="text1"/>
          <w14:textFill>
            <w14:solidFill>
              <w14:schemeClr w14:val="tx1"/>
            </w14:solidFill>
          </w14:textFill>
        </w:rPr>
        <w:t>小麦</w:t>
      </w:r>
      <w:r>
        <w:rPr>
          <w:rFonts w:ascii="Times New Roman"/>
          <w:color w:val="000000" w:themeColor="text1"/>
          <w14:textFill>
            <w14:solidFill>
              <w14:schemeClr w14:val="tx1"/>
            </w14:solidFill>
          </w14:textFill>
        </w:rPr>
        <w:t>的品质。</w:t>
      </w:r>
    </w:p>
    <w:p w14:paraId="5826EA22">
      <w:pPr>
        <w:pStyle w:val="52"/>
        <w:numPr>
          <w:ilvl w:val="1"/>
          <w:numId w:val="0"/>
        </w:numPr>
        <w:spacing w:before="156" w:after="156"/>
        <w:ind w:firstLine="420" w:firstLineChars="200"/>
      </w:pPr>
      <w:r>
        <w:t>5</w:t>
      </w:r>
      <w:r>
        <w:rPr>
          <w:rFonts w:hint="eastAsia"/>
        </w:rPr>
        <w:t>.</w:t>
      </w:r>
      <w:r>
        <w:t xml:space="preserve">8 </w:t>
      </w:r>
      <w:r>
        <w:rPr>
          <w:rFonts w:hint="eastAsia"/>
        </w:rPr>
        <w:t>储存</w:t>
      </w:r>
      <w:r>
        <w:t>减损</w:t>
      </w:r>
    </w:p>
    <w:p w14:paraId="18B6C4E0">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 xml:space="preserve">8.1 </w:t>
      </w:r>
      <w:r>
        <w:rPr>
          <w:rFonts w:hint="eastAsia" w:ascii="黑体" w:hAnsi="黑体" w:eastAsia="黑体"/>
          <w:color w:val="000000" w:themeColor="text1"/>
          <w14:textFill>
            <w14:solidFill>
              <w14:schemeClr w14:val="tx1"/>
            </w14:solidFill>
          </w14:textFill>
        </w:rPr>
        <w:t>品种分级存放</w:t>
      </w:r>
    </w:p>
    <w:p w14:paraId="4BDB23D8">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做好小麦分品种、分等级处理，严格清选，严防混杂，保证纯度；优质麦可进行二次清选保证品质，确保商品粮优质优价。</w:t>
      </w:r>
    </w:p>
    <w:p w14:paraId="280FCDEA">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 xml:space="preserve">8.2 </w:t>
      </w:r>
      <w:r>
        <w:rPr>
          <w:rFonts w:hint="eastAsia" w:ascii="黑体" w:hAnsi="黑体" w:eastAsia="黑体"/>
          <w:color w:val="000000" w:themeColor="text1"/>
          <w14:textFill>
            <w14:solidFill>
              <w14:schemeClr w14:val="tx1"/>
            </w14:solidFill>
          </w14:textFill>
        </w:rPr>
        <w:t>虫霉防治</w:t>
      </w:r>
    </w:p>
    <w:p w14:paraId="015B4A13">
      <w:pPr>
        <w:pStyle w:val="37"/>
        <w:spacing w:before="0" w:beforeAutospacing="0" w:after="0" w:afterAutospacing="0" w:line="360" w:lineRule="auto"/>
        <w:ind w:firstLine="420" w:firstLineChars="200"/>
        <w:jc w:val="both"/>
        <w:rPr>
          <w:rFonts w:ascii="Times New Roman" w:hAnsi="Times New Roman" w:eastAsiaTheme="minorEastAsia"/>
          <w:kern w:val="2"/>
          <w:sz w:val="21"/>
          <w:szCs w:val="21"/>
        </w:rPr>
      </w:pPr>
      <w:r>
        <w:rPr>
          <w:rFonts w:hint="eastAsia" w:ascii="Times New Roman" w:hAnsi="Times New Roman" w:eastAsiaTheme="minorEastAsia"/>
          <w:kern w:val="2"/>
          <w:sz w:val="21"/>
          <w:szCs w:val="21"/>
        </w:rPr>
        <w:t>在贮存过程中及时进行药剂熏仓，并监测仓内小麦温度。贮藏方法符合</w:t>
      </w:r>
      <w:r>
        <w:rPr>
          <w:rFonts w:ascii="Times New Roman" w:hAnsi="Times New Roman" w:eastAsiaTheme="minorEastAsia"/>
          <w:kern w:val="2"/>
          <w:sz w:val="21"/>
          <w:szCs w:val="21"/>
        </w:rPr>
        <w:t>GB/T 29890</w:t>
      </w:r>
      <w:r>
        <w:rPr>
          <w:rFonts w:hint="eastAsia" w:ascii="Times New Roman" w:hAnsi="Times New Roman" w:eastAsiaTheme="minorEastAsia"/>
          <w:kern w:val="2"/>
          <w:sz w:val="21"/>
          <w:szCs w:val="21"/>
        </w:rPr>
        <w:t>的要求。</w:t>
      </w:r>
    </w:p>
    <w:p w14:paraId="6E479256">
      <w:pPr>
        <w:pStyle w:val="28"/>
        <w:spacing w:before="156" w:beforeLines="50" w:after="156" w:afterLines="5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5</w:t>
      </w:r>
      <w:r>
        <w:rPr>
          <w:rFonts w:hint="eastAsia" w:ascii="黑体" w:hAnsi="黑体" w:eastAsia="黑体"/>
          <w:color w:val="000000" w:themeColor="text1"/>
          <w14:textFill>
            <w14:solidFill>
              <w14:schemeClr w14:val="tx1"/>
            </w14:solidFill>
          </w14:textFill>
        </w:rPr>
        <w:t>.</w:t>
      </w:r>
      <w:r>
        <w:rPr>
          <w:rFonts w:ascii="黑体" w:hAnsi="黑体" w:eastAsia="黑体"/>
          <w:color w:val="000000" w:themeColor="text1"/>
          <w14:textFill>
            <w14:solidFill>
              <w14:schemeClr w14:val="tx1"/>
            </w14:solidFill>
          </w14:textFill>
        </w:rPr>
        <w:t>8.3</w:t>
      </w:r>
      <w:r>
        <w:rPr>
          <w:rFonts w:hint="eastAsia" w:ascii="黑体" w:hAnsi="黑体" w:eastAsia="黑体"/>
          <w:color w:val="000000" w:themeColor="text1"/>
          <w14:textFill>
            <w14:solidFill>
              <w14:schemeClr w14:val="tx1"/>
            </w14:solidFill>
          </w14:textFill>
        </w:rPr>
        <w:t xml:space="preserve"> </w:t>
      </w:r>
      <w:r>
        <w:rPr>
          <w:rFonts w:ascii="黑体" w:hAnsi="黑体" w:eastAsia="黑体"/>
          <w:color w:val="000000" w:themeColor="text1"/>
          <w14:textFill>
            <w14:solidFill>
              <w14:schemeClr w14:val="tx1"/>
            </w14:solidFill>
          </w14:textFill>
        </w:rPr>
        <w:t>鼠</w:t>
      </w:r>
      <w:r>
        <w:rPr>
          <w:rFonts w:hint="eastAsia" w:ascii="黑体" w:hAnsi="黑体" w:eastAsia="黑体"/>
          <w:color w:val="000000" w:themeColor="text1"/>
          <w14:textFill>
            <w14:solidFill>
              <w14:schemeClr w14:val="tx1"/>
            </w14:solidFill>
          </w14:textFill>
        </w:rPr>
        <w:t>雀防治</w:t>
      </w:r>
    </w:p>
    <w:p w14:paraId="4AC5D2D8">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运输、晾晒、烘干、储藏全程</w:t>
      </w:r>
      <w:r>
        <w:rPr>
          <w:rFonts w:ascii="Times New Roman"/>
          <w:color w:val="000000" w:themeColor="text1"/>
          <w14:textFill>
            <w14:solidFill>
              <w14:schemeClr w14:val="tx1"/>
            </w14:solidFill>
          </w14:textFill>
        </w:rPr>
        <w:t>做好防鼠</w:t>
      </w:r>
      <w:r>
        <w:rPr>
          <w:rFonts w:hint="eastAsia" w:ascii="Times New Roman"/>
          <w:color w:val="000000" w:themeColor="text1"/>
          <w14:textFill>
            <w14:solidFill>
              <w14:schemeClr w14:val="tx1"/>
            </w14:solidFill>
          </w14:textFill>
        </w:rPr>
        <w:t>防雀</w:t>
      </w:r>
      <w:r>
        <w:rPr>
          <w:rFonts w:ascii="Times New Roman"/>
          <w:color w:val="000000" w:themeColor="text1"/>
          <w14:textFill>
            <w14:solidFill>
              <w14:schemeClr w14:val="tx1"/>
            </w14:solidFill>
          </w14:textFill>
        </w:rPr>
        <w:t>工作，保证品质降低损失。</w:t>
      </w:r>
    </w:p>
    <w:p w14:paraId="22368E00">
      <w:pPr>
        <w:pStyle w:val="55"/>
        <w:spacing w:before="312" w:after="312"/>
        <w:ind w:left="0" w:firstLine="420" w:firstLineChars="20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档案管理</w:t>
      </w:r>
    </w:p>
    <w:p w14:paraId="21F24E33">
      <w:pPr>
        <w:pStyle w:val="28"/>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建立生产、储存和运输档案记录，及其他相关质量追溯记录，保存3年以上。</w:t>
      </w:r>
    </w:p>
    <w:p w14:paraId="3896F7EF">
      <w:pPr>
        <w:pStyle w:val="28"/>
        <w:ind w:firstLine="0" w:firstLineChars="0"/>
        <w:jc w:val="center"/>
        <w:rPr>
          <w:rFonts w:ascii="Times New Roman"/>
          <w:b/>
          <w:color w:val="000000" w:themeColor="text1"/>
          <w14:textFill>
            <w14:solidFill>
              <w14:schemeClr w14:val="tx1"/>
            </w14:solidFill>
          </w14:textFill>
        </w:rPr>
      </w:pPr>
    </w:p>
    <w:sectPr>
      <w:headerReference r:id="rId6" w:type="default"/>
      <w:footerReference r:id="rId8" w:type="default"/>
      <w:headerReference r:id="rId7" w:type="even"/>
      <w:footerReference r:id="rId9" w:type="even"/>
      <w:pgSz w:w="11906" w:h="16838"/>
      <w:pgMar w:top="567" w:right="1134" w:bottom="1134" w:left="1418" w:header="1418"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Helvetica">
    <w:altName w:val="Arial"/>
    <w:panose1 w:val="00000000000000000000"/>
    <w:charset w:val="00"/>
    <w:family w:val="auto"/>
    <w:pitch w:val="default"/>
    <w:sig w:usb0="00000000" w:usb1="00000000" w:usb2="00000000" w:usb3="00000000" w:csb0="0000019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ZXH1JW--GB1-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1188829320"/>
      <w:docPartObj>
        <w:docPartGallery w:val="AutoText"/>
      </w:docPartObj>
    </w:sdtPr>
    <w:sdtEndPr>
      <w:rPr>
        <w:rStyle w:val="45"/>
      </w:rPr>
    </w:sdtEndPr>
    <w:sdtContent>
      <w:p w14:paraId="4372FE89">
        <w:pPr>
          <w:pStyle w:val="22"/>
          <w:framePr w:wrap="auto" w:vAnchor="text" w:hAnchor="margin" w:xAlign="center" w:y="1"/>
          <w:rPr>
            <w:rStyle w:val="45"/>
          </w:rPr>
        </w:pPr>
        <w:r>
          <w:rPr>
            <w:rStyle w:val="45"/>
          </w:rPr>
          <w:fldChar w:fldCharType="begin"/>
        </w:r>
        <w:r>
          <w:rPr>
            <w:rStyle w:val="45"/>
          </w:rPr>
          <w:instrText xml:space="preserve"> PAGE </w:instrText>
        </w:r>
        <w:r>
          <w:rPr>
            <w:rStyle w:val="45"/>
          </w:rPr>
          <w:fldChar w:fldCharType="separate"/>
        </w:r>
        <w:r>
          <w:rPr>
            <w:rStyle w:val="45"/>
          </w:rPr>
          <w:t>1</w:t>
        </w:r>
        <w:r>
          <w:rPr>
            <w:rStyle w:val="45"/>
          </w:rPr>
          <w:fldChar w:fldCharType="end"/>
        </w:r>
      </w:p>
    </w:sdtContent>
  </w:sdt>
  <w:sdt>
    <w:sdtPr>
      <w:id w:val="876046923"/>
      <w:showingPlcHdr/>
    </w:sdtPr>
    <w:sdtContent>
      <w:p w14:paraId="55881631">
        <w:pPr>
          <w:pStyle w:val="22"/>
        </w:pP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2115554582"/>
      <w:docPartObj>
        <w:docPartGallery w:val="AutoText"/>
      </w:docPartObj>
    </w:sdtPr>
    <w:sdtEndPr>
      <w:rPr>
        <w:rStyle w:val="45"/>
      </w:rPr>
    </w:sdtEndPr>
    <w:sdtContent>
      <w:p w14:paraId="22BA040A">
        <w:pPr>
          <w:pStyle w:val="22"/>
          <w:framePr w:wrap="auto" w:vAnchor="text" w:hAnchor="margin" w:xAlign="center" w:y="1"/>
          <w:rPr>
            <w:rStyle w:val="45"/>
          </w:rPr>
        </w:pPr>
        <w:r>
          <w:rPr>
            <w:rStyle w:val="45"/>
          </w:rPr>
          <w:fldChar w:fldCharType="begin"/>
        </w:r>
        <w:r>
          <w:rPr>
            <w:rStyle w:val="45"/>
          </w:rPr>
          <w:instrText xml:space="preserve"> PAGE </w:instrText>
        </w:r>
        <w:r>
          <w:rPr>
            <w:rStyle w:val="45"/>
          </w:rPr>
          <w:fldChar w:fldCharType="separate"/>
        </w:r>
        <w:r>
          <w:rPr>
            <w:rStyle w:val="45"/>
          </w:rPr>
          <w:t>0</w:t>
        </w:r>
        <w:r>
          <w:rPr>
            <w:rStyle w:val="45"/>
          </w:rPr>
          <w:fldChar w:fldCharType="end"/>
        </w:r>
      </w:p>
    </w:sdtContent>
  </w:sdt>
  <w:p w14:paraId="2CB979D0">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377202270"/>
      <w:docPartObj>
        <w:docPartGallery w:val="AutoText"/>
      </w:docPartObj>
    </w:sdtPr>
    <w:sdtEndPr>
      <w:rPr>
        <w:rStyle w:val="45"/>
      </w:rPr>
    </w:sdtEndPr>
    <w:sdtContent>
      <w:p w14:paraId="4061914A">
        <w:pPr>
          <w:pStyle w:val="22"/>
          <w:framePr w:wrap="auto" w:vAnchor="text" w:hAnchor="margin" w:xAlign="center" w:y="1"/>
          <w:rPr>
            <w:rStyle w:val="45"/>
          </w:rPr>
        </w:pPr>
        <w:r>
          <w:rPr>
            <w:rStyle w:val="45"/>
          </w:rPr>
          <w:fldChar w:fldCharType="begin"/>
        </w:r>
        <w:r>
          <w:rPr>
            <w:rStyle w:val="45"/>
          </w:rPr>
          <w:instrText xml:space="preserve"> PAGE </w:instrText>
        </w:r>
        <w:r>
          <w:rPr>
            <w:rStyle w:val="45"/>
          </w:rPr>
          <w:fldChar w:fldCharType="separate"/>
        </w:r>
        <w:r>
          <w:rPr>
            <w:rStyle w:val="45"/>
          </w:rPr>
          <w:t>3</w:t>
        </w:r>
        <w:r>
          <w:rPr>
            <w:rStyle w:val="45"/>
          </w:rPr>
          <w:fldChar w:fldCharType="end"/>
        </w:r>
      </w:p>
    </w:sdtContent>
  </w:sdt>
  <w:p w14:paraId="5EF299EB">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1984608207"/>
      <w:docPartObj>
        <w:docPartGallery w:val="AutoText"/>
      </w:docPartObj>
    </w:sdtPr>
    <w:sdtEndPr>
      <w:rPr>
        <w:rStyle w:val="45"/>
      </w:rPr>
    </w:sdtEndPr>
    <w:sdtContent>
      <w:p w14:paraId="63190BEB">
        <w:pPr>
          <w:pStyle w:val="22"/>
          <w:framePr w:wrap="auto" w:vAnchor="text" w:hAnchor="margin" w:xAlign="center" w:y="1"/>
          <w:rPr>
            <w:rStyle w:val="45"/>
          </w:rPr>
        </w:pPr>
        <w:r>
          <w:rPr>
            <w:rStyle w:val="45"/>
          </w:rPr>
          <w:fldChar w:fldCharType="begin"/>
        </w:r>
        <w:r>
          <w:rPr>
            <w:rStyle w:val="45"/>
          </w:rPr>
          <w:instrText xml:space="preserve"> PAGE </w:instrText>
        </w:r>
        <w:r>
          <w:rPr>
            <w:rStyle w:val="45"/>
          </w:rPr>
          <w:fldChar w:fldCharType="separate"/>
        </w:r>
        <w:r>
          <w:rPr>
            <w:rStyle w:val="45"/>
          </w:rPr>
          <w:t>4</w:t>
        </w:r>
        <w:r>
          <w:rPr>
            <w:rStyle w:val="45"/>
          </w:rPr>
          <w:fldChar w:fldCharType="end"/>
        </w:r>
      </w:p>
    </w:sdtContent>
  </w:sdt>
  <w:p w14:paraId="0DE13CD2">
    <w:pPr>
      <w:pStyle w:val="22"/>
      <w:framePr w:wrap="auto" w:vAnchor="text" w:hAnchor="margin" w:xAlign="outside" w:y="1"/>
      <w:rPr>
        <w:rStyle w:val="45"/>
      </w:rPr>
    </w:pPr>
  </w:p>
  <w:sdt>
    <w:sdtPr>
      <w:id w:val="-2108575060"/>
    </w:sdtPr>
    <w:sdtContent>
      <w:p w14:paraId="185C3CDD">
        <w:pPr>
          <w:pStyle w:val="22"/>
          <w:ind w:firstLine="360"/>
        </w:pPr>
        <w:r>
          <w:ptab w:relativeTo="indent" w:alignment="right" w:leader="none"/>
        </w:r>
      </w:p>
    </w:sdtContent>
  </w:sdt>
  <w:p w14:paraId="2597BBE2">
    <w:pPr>
      <w:pStyle w:val="22"/>
    </w:pPr>
  </w:p>
  <w:p w14:paraId="490F9F8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2A0F1">
    <w:pPr>
      <w:pStyle w:val="23"/>
      <w:wordWrap w:val="0"/>
      <w:ind w:right="105"/>
      <w:jc w:val="right"/>
      <w:rPr>
        <w:rFonts w:ascii="黑体" w:hAnsi="黑体" w:eastAsia="黑体"/>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559C7">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26CEE">
    <w:pPr>
      <w:pStyle w:val="23"/>
      <w:wordWrap w:val="0"/>
      <w:ind w:right="105"/>
      <w:jc w:val="right"/>
      <w:rPr>
        <w:rFonts w:ascii="宋体" w:hAnsi="宋体"/>
        <w:sz w:val="21"/>
      </w:rPr>
    </w:pPr>
    <w:r>
      <w:rPr>
        <w:rFonts w:ascii="宋体" w:hAnsi="宋体"/>
        <w:sz w:val="21"/>
      </w:rPr>
      <w:ptab w:relativeTo="indent"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3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000000A"/>
    <w:multiLevelType w:val="multilevel"/>
    <w:tmpl w:val="0000000A"/>
    <w:lvl w:ilvl="0" w:tentative="0">
      <w:start w:val="1"/>
      <w:numFmt w:val="decimal"/>
      <w:pStyle w:val="13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000000B"/>
    <w:multiLevelType w:val="multilevel"/>
    <w:tmpl w:val="0000000B"/>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3">
    <w:nsid w:val="0000000D"/>
    <w:multiLevelType w:val="multilevel"/>
    <w:tmpl w:val="0000000D"/>
    <w:lvl w:ilvl="0" w:tentative="0">
      <w:start w:val="1"/>
      <w:numFmt w:val="none"/>
      <w:pStyle w:val="58"/>
      <w:suff w:val="nothing"/>
      <w:lvlText w:val="%1——"/>
      <w:lvlJc w:val="left"/>
      <w:pPr>
        <w:ind w:left="834" w:hanging="408"/>
      </w:pPr>
      <w:rPr>
        <w:rFonts w:hint="eastAsia"/>
        <w:lang w:val="en-US"/>
      </w:rPr>
    </w:lvl>
    <w:lvl w:ilvl="1" w:tentative="0">
      <w:start w:val="1"/>
      <w:numFmt w:val="bullet"/>
      <w:pStyle w:val="59"/>
      <w:lvlText w:val=""/>
      <w:lvlJc w:val="left"/>
      <w:pPr>
        <w:tabs>
          <w:tab w:val="left" w:pos="761"/>
        </w:tabs>
        <w:ind w:left="1265" w:hanging="413"/>
      </w:pPr>
      <w:rPr>
        <w:rFonts w:hint="default" w:ascii="Symbol" w:hAnsi="Symbol"/>
        <w:color w:val="auto"/>
      </w:rPr>
    </w:lvl>
    <w:lvl w:ilvl="2" w:tentative="0">
      <w:start w:val="1"/>
      <w:numFmt w:val="bullet"/>
      <w:pStyle w:val="70"/>
      <w:lvlText w:val=""/>
      <w:lvlJc w:val="left"/>
      <w:pPr>
        <w:tabs>
          <w:tab w:val="left" w:pos="1679"/>
        </w:tabs>
        <w:ind w:left="1679" w:hanging="414"/>
      </w:pPr>
      <w:rPr>
        <w:rFonts w:hint="default" w:ascii="Symbol" w:hAnsi="Symbol"/>
        <w:color w:val="auto"/>
      </w:rPr>
    </w:lvl>
    <w:lvl w:ilvl="3" w:tentative="0">
      <w:start w:val="1"/>
      <w:numFmt w:val="decimal"/>
      <w:lvlText w:val="%4."/>
      <w:lvlJc w:val="left"/>
      <w:pPr>
        <w:tabs>
          <w:tab w:val="left" w:pos="2072"/>
        </w:tabs>
        <w:ind w:left="1885" w:hanging="528"/>
      </w:pPr>
      <w:rPr>
        <w:rFonts w:hint="eastAsia"/>
      </w:rPr>
    </w:lvl>
    <w:lvl w:ilvl="4" w:tentative="0">
      <w:start w:val="1"/>
      <w:numFmt w:val="lowerLetter"/>
      <w:lvlText w:val="%5)"/>
      <w:lvlJc w:val="left"/>
      <w:pPr>
        <w:tabs>
          <w:tab w:val="left" w:pos="2384"/>
        </w:tabs>
        <w:ind w:left="2197" w:hanging="528"/>
      </w:pPr>
      <w:rPr>
        <w:rFonts w:hint="eastAsia"/>
      </w:rPr>
    </w:lvl>
    <w:lvl w:ilvl="5" w:tentative="0">
      <w:start w:val="1"/>
      <w:numFmt w:val="lowerRoman"/>
      <w:lvlText w:val="%6."/>
      <w:lvlJc w:val="right"/>
      <w:pPr>
        <w:tabs>
          <w:tab w:val="left" w:pos="2696"/>
        </w:tabs>
        <w:ind w:left="2509" w:hanging="528"/>
      </w:pPr>
      <w:rPr>
        <w:rFonts w:hint="eastAsia"/>
      </w:rPr>
    </w:lvl>
    <w:lvl w:ilvl="6" w:tentative="0">
      <w:start w:val="1"/>
      <w:numFmt w:val="decimal"/>
      <w:lvlText w:val="%7."/>
      <w:lvlJc w:val="left"/>
      <w:pPr>
        <w:tabs>
          <w:tab w:val="left" w:pos="3008"/>
        </w:tabs>
        <w:ind w:left="2821" w:hanging="528"/>
      </w:pPr>
      <w:rPr>
        <w:rFonts w:hint="eastAsia"/>
      </w:rPr>
    </w:lvl>
    <w:lvl w:ilvl="7" w:tentative="0">
      <w:start w:val="1"/>
      <w:numFmt w:val="lowerLetter"/>
      <w:lvlText w:val="%8)"/>
      <w:lvlJc w:val="left"/>
      <w:pPr>
        <w:tabs>
          <w:tab w:val="left" w:pos="3320"/>
        </w:tabs>
        <w:ind w:left="3133" w:hanging="528"/>
      </w:pPr>
      <w:rPr>
        <w:rFonts w:hint="eastAsia"/>
      </w:rPr>
    </w:lvl>
    <w:lvl w:ilvl="8" w:tentative="0">
      <w:start w:val="1"/>
      <w:numFmt w:val="lowerRoman"/>
      <w:lvlText w:val="%9."/>
      <w:lvlJc w:val="right"/>
      <w:pPr>
        <w:tabs>
          <w:tab w:val="left" w:pos="3632"/>
        </w:tabs>
        <w:ind w:left="3445" w:hanging="528"/>
      </w:pPr>
      <w:rPr>
        <w:rFonts w:hint="eastAsia"/>
      </w:rPr>
    </w:lvl>
  </w:abstractNum>
  <w:abstractNum w:abstractNumId="4">
    <w:nsid w:val="0000000F"/>
    <w:multiLevelType w:val="multilevel"/>
    <w:tmpl w:val="0000000F"/>
    <w:lvl w:ilvl="0" w:tentative="0">
      <w:start w:val="1"/>
      <w:numFmt w:val="lowerLetter"/>
      <w:pStyle w:val="13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00000011"/>
    <w:multiLevelType w:val="multilevel"/>
    <w:tmpl w:val="00000011"/>
    <w:lvl w:ilvl="0" w:tentative="0">
      <w:start w:val="1"/>
      <w:numFmt w:val="decimal"/>
      <w:pStyle w:val="6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0000013"/>
    <w:multiLevelType w:val="multilevel"/>
    <w:tmpl w:val="00000013"/>
    <w:lvl w:ilvl="0" w:tentative="0">
      <w:start w:val="1"/>
      <w:numFmt w:val="upperLetter"/>
      <w:pStyle w:val="94"/>
      <w:suff w:val="nothing"/>
      <w:lvlText w:val="附　录　%1"/>
      <w:lvlJc w:val="left"/>
      <w:pPr>
        <w:ind w:left="0" w:firstLine="0"/>
      </w:pPr>
      <w:rPr>
        <w:rFonts w:hint="eastAsia" w:ascii="黑体" w:hAnsi="Times New Roman" w:eastAsia="黑体"/>
        <w:b w:val="0"/>
        <w:i w:val="0"/>
        <w:color w:val="auto"/>
        <w:spacing w:val="0"/>
        <w:w w:val="100"/>
        <w:sz w:val="21"/>
      </w:rPr>
    </w:lvl>
    <w:lvl w:ilvl="1" w:tentative="0">
      <w:start w:val="1"/>
      <w:numFmt w:val="decimal"/>
      <w:pStyle w:val="11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98"/>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0000015"/>
    <w:multiLevelType w:val="multilevel"/>
    <w:tmpl w:val="00000015"/>
    <w:lvl w:ilvl="0" w:tentative="0">
      <w:start w:val="1"/>
      <w:numFmt w:val="upperLetter"/>
      <w:pStyle w:val="108"/>
      <w:suff w:val="space"/>
      <w:lvlText w:val="%1"/>
      <w:lvlJc w:val="left"/>
      <w:pPr>
        <w:ind w:left="623" w:hanging="425"/>
      </w:pPr>
      <w:rPr>
        <w:rFonts w:hint="eastAsia"/>
      </w:rPr>
    </w:lvl>
    <w:lvl w:ilvl="1" w:tentative="0">
      <w:start w:val="1"/>
      <w:numFmt w:val="decimal"/>
      <w:pStyle w:val="10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00000016"/>
    <w:multiLevelType w:val="multilevel"/>
    <w:tmpl w:val="00000016"/>
    <w:lvl w:ilvl="0" w:tentative="0">
      <w:start w:val="1"/>
      <w:numFmt w:val="decimal"/>
      <w:pStyle w:val="7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9">
    <w:nsid w:val="00000018"/>
    <w:multiLevelType w:val="multilevel"/>
    <w:tmpl w:val="00000018"/>
    <w:lvl w:ilvl="0" w:tentative="0">
      <w:start w:val="1"/>
      <w:numFmt w:val="none"/>
      <w:pStyle w:val="6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0000019"/>
    <w:multiLevelType w:val="multilevel"/>
    <w:tmpl w:val="00000019"/>
    <w:lvl w:ilvl="0" w:tentative="0">
      <w:start w:val="1"/>
      <w:numFmt w:val="decimal"/>
      <w:pStyle w:val="12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000001B"/>
    <w:multiLevelType w:val="multilevel"/>
    <w:tmpl w:val="0000001B"/>
    <w:lvl w:ilvl="0" w:tentative="0">
      <w:start w:val="1"/>
      <w:numFmt w:val="upperLetter"/>
      <w:pStyle w:val="96"/>
      <w:lvlText w:val="%1"/>
      <w:lvlJc w:val="left"/>
      <w:pPr>
        <w:tabs>
          <w:tab w:val="left" w:pos="0"/>
        </w:tabs>
        <w:ind w:left="0" w:hanging="425"/>
      </w:pPr>
      <w:rPr>
        <w:rFonts w:hint="eastAsia"/>
      </w:rPr>
    </w:lvl>
    <w:lvl w:ilvl="1" w:tentative="0">
      <w:start w:val="1"/>
      <w:numFmt w:val="decimal"/>
      <w:pStyle w:val="9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0000001F"/>
    <w:multiLevelType w:val="multilevel"/>
    <w:tmpl w:val="0000001F"/>
    <w:lvl w:ilvl="0" w:tentative="0">
      <w:start w:val="1"/>
      <w:numFmt w:val="none"/>
      <w:pStyle w:val="67"/>
      <w:suff w:val="nothing"/>
      <w:lvlText w:val="%1注："/>
      <w:lvlJc w:val="left"/>
      <w:pPr>
        <w:ind w:left="363" w:hanging="363"/>
      </w:pPr>
      <w:rPr>
        <w:rFonts w:hint="eastAsia" w:ascii="黑体" w:hAnsi="Times New Roman" w:eastAsia="黑体"/>
        <w:b w:val="0"/>
        <w:i w:val="0"/>
        <w:sz w:val="18"/>
      </w:rPr>
    </w:lvl>
    <w:lvl w:ilvl="1" w:tentative="0">
      <w:start w:val="1"/>
      <w:numFmt w:val="lowerLetter"/>
      <w:lvlText w:val="%2)"/>
      <w:lvlJc w:val="left"/>
      <w:pPr>
        <w:tabs>
          <w:tab w:val="left" w:pos="777"/>
        </w:tabs>
        <w:ind w:left="363" w:hanging="363"/>
      </w:pPr>
      <w:rPr>
        <w:rFonts w:hint="eastAsia"/>
      </w:rPr>
    </w:lvl>
    <w:lvl w:ilvl="2" w:tentative="0">
      <w:start w:val="1"/>
      <w:numFmt w:val="lowerRoman"/>
      <w:lvlText w:val="%3."/>
      <w:lvlJc w:val="right"/>
      <w:pPr>
        <w:tabs>
          <w:tab w:val="left" w:pos="777"/>
        </w:tabs>
        <w:ind w:left="363" w:hanging="363"/>
      </w:pPr>
      <w:rPr>
        <w:rFonts w:hint="eastAsia"/>
      </w:rPr>
    </w:lvl>
    <w:lvl w:ilvl="3" w:tentative="0">
      <w:start w:val="1"/>
      <w:numFmt w:val="decimal"/>
      <w:lvlText w:val="%4."/>
      <w:lvlJc w:val="left"/>
      <w:pPr>
        <w:tabs>
          <w:tab w:val="left" w:pos="777"/>
        </w:tabs>
        <w:ind w:left="363" w:hanging="363"/>
      </w:pPr>
      <w:rPr>
        <w:rFonts w:hint="eastAsia"/>
      </w:rPr>
    </w:lvl>
    <w:lvl w:ilvl="4" w:tentative="0">
      <w:start w:val="1"/>
      <w:numFmt w:val="lowerLetter"/>
      <w:lvlText w:val="%5)"/>
      <w:lvlJc w:val="left"/>
      <w:pPr>
        <w:tabs>
          <w:tab w:val="left" w:pos="777"/>
        </w:tabs>
        <w:ind w:left="363" w:hanging="363"/>
      </w:pPr>
      <w:rPr>
        <w:rFonts w:hint="eastAsia"/>
      </w:rPr>
    </w:lvl>
    <w:lvl w:ilvl="5" w:tentative="0">
      <w:start w:val="1"/>
      <w:numFmt w:val="lowerRoman"/>
      <w:lvlText w:val="%6."/>
      <w:lvlJc w:val="right"/>
      <w:pPr>
        <w:tabs>
          <w:tab w:val="left" w:pos="777"/>
        </w:tabs>
        <w:ind w:left="363" w:hanging="363"/>
      </w:pPr>
      <w:rPr>
        <w:rFonts w:hint="eastAsia"/>
      </w:rPr>
    </w:lvl>
    <w:lvl w:ilvl="6" w:tentative="0">
      <w:start w:val="1"/>
      <w:numFmt w:val="decimal"/>
      <w:lvlText w:val="%7."/>
      <w:lvlJc w:val="left"/>
      <w:pPr>
        <w:tabs>
          <w:tab w:val="left" w:pos="777"/>
        </w:tabs>
        <w:ind w:left="363" w:hanging="363"/>
      </w:pPr>
      <w:rPr>
        <w:rFonts w:hint="eastAsia"/>
      </w:rPr>
    </w:lvl>
    <w:lvl w:ilvl="7" w:tentative="0">
      <w:start w:val="1"/>
      <w:numFmt w:val="lowerLetter"/>
      <w:lvlText w:val="%8)"/>
      <w:lvlJc w:val="left"/>
      <w:pPr>
        <w:tabs>
          <w:tab w:val="left" w:pos="777"/>
        </w:tabs>
        <w:ind w:left="363" w:hanging="363"/>
      </w:pPr>
      <w:rPr>
        <w:rFonts w:hint="eastAsia"/>
      </w:rPr>
    </w:lvl>
    <w:lvl w:ilvl="8" w:tentative="0">
      <w:start w:val="1"/>
      <w:numFmt w:val="lowerRoman"/>
      <w:lvlText w:val="%9."/>
      <w:lvlJc w:val="right"/>
      <w:pPr>
        <w:tabs>
          <w:tab w:val="left" w:pos="777"/>
        </w:tabs>
        <w:ind w:left="363" w:hanging="363"/>
      </w:pPr>
      <w:rPr>
        <w:rFonts w:hint="eastAsia"/>
      </w:rPr>
    </w:lvl>
  </w:abstractNum>
  <w:abstractNum w:abstractNumId="13">
    <w:nsid w:val="00000024"/>
    <w:multiLevelType w:val="multilevel"/>
    <w:tmpl w:val="00000024"/>
    <w:lvl w:ilvl="0" w:tentative="0">
      <w:start w:val="1"/>
      <w:numFmt w:val="lowerLetter"/>
      <w:pStyle w:val="115"/>
      <w:lvlText w:val="%1)"/>
      <w:lvlJc w:val="left"/>
      <w:pPr>
        <w:tabs>
          <w:tab w:val="left" w:pos="839"/>
        </w:tabs>
        <w:ind w:left="839" w:hanging="419"/>
      </w:pPr>
      <w:rPr>
        <w:rFonts w:hint="eastAsia" w:ascii="宋体" w:eastAsia="宋体"/>
        <w:b w:val="0"/>
        <w:i w:val="0"/>
        <w:sz w:val="21"/>
      </w:rPr>
    </w:lvl>
    <w:lvl w:ilvl="1" w:tentative="0">
      <w:start w:val="1"/>
      <w:numFmt w:val="decimal"/>
      <w:pStyle w:val="10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4">
    <w:nsid w:val="00000025"/>
    <w:multiLevelType w:val="multilevel"/>
    <w:tmpl w:val="00000025"/>
    <w:lvl w:ilvl="0" w:tentative="0">
      <w:start w:val="1"/>
      <w:numFmt w:val="decimal"/>
      <w:pStyle w:val="55"/>
      <w:suff w:val="nothing"/>
      <w:lvlText w:val="%1　"/>
      <w:lvlJc w:val="left"/>
      <w:pPr>
        <w:ind w:left="284"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vanish w:val="0"/>
        <w:color w:val="000000"/>
        <w:spacing w:val="0"/>
        <w:kern w:val="0"/>
        <w:position w:val="0"/>
        <w:sz w:val="21"/>
        <w:szCs w:val="21"/>
        <w:u w:val="none"/>
        <w:vertAlign w:val="baseline"/>
      </w:rPr>
    </w:lvl>
    <w:lvl w:ilvl="2" w:tentative="0">
      <w:start w:val="1"/>
      <w:numFmt w:val="decimal"/>
      <w:pStyle w:val="5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2551"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00000026"/>
    <w:multiLevelType w:val="multilevel"/>
    <w:tmpl w:val="00000026"/>
    <w:lvl w:ilvl="0" w:tentative="0">
      <w:start w:val="1"/>
      <w:numFmt w:val="lowerLetter"/>
      <w:pStyle w:val="69"/>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4"/>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71"/>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6">
    <w:nsid w:val="694B41CE"/>
    <w:multiLevelType w:val="multilevel"/>
    <w:tmpl w:val="694B41CE"/>
    <w:lvl w:ilvl="0" w:tentative="0">
      <w:start w:val="1"/>
      <w:numFmt w:val="decimal"/>
      <w:pStyle w:val="75"/>
      <w:suff w:val="nothing"/>
      <w:lvlText w:val="注%1："/>
      <w:lvlJc w:val="left"/>
      <w:pPr>
        <w:ind w:left="811" w:hanging="448"/>
      </w:pPr>
      <w:rPr>
        <w:rFonts w:hint="eastAsia" w:ascii="黑体" w:hAnsi="宋体" w:eastAsia="黑体"/>
        <w:b w:val="0"/>
        <w:bCs w:val="0"/>
        <w:i w:val="0"/>
        <w:iCs w:val="0"/>
        <w:sz w:val="18"/>
        <w:szCs w:val="21"/>
        <w:vertAlign w:val="baseline"/>
      </w:rPr>
    </w:lvl>
    <w:lvl w:ilvl="1" w:tentative="0">
      <w:start w:val="1"/>
      <w:numFmt w:val="lowerLetter"/>
      <w:lvlText w:val="%2)"/>
      <w:lvlJc w:val="left"/>
      <w:pPr>
        <w:tabs>
          <w:tab w:val="left" w:pos="181"/>
        </w:tabs>
        <w:ind w:left="1174" w:hanging="630"/>
      </w:pPr>
      <w:rPr>
        <w:rFonts w:hint="eastAsia" w:ascii="宋体" w:hAnsi="宋体" w:eastAsia="宋体"/>
        <w:b w:val="0"/>
        <w:bCs w:val="0"/>
        <w:i w:val="0"/>
        <w:iCs w:val="0"/>
        <w:sz w:val="20"/>
        <w:szCs w:val="20"/>
        <w:vertAlign w:val="baseline"/>
      </w:rPr>
    </w:lvl>
    <w:lvl w:ilvl="2" w:tentative="0">
      <w:start w:val="1"/>
      <w:numFmt w:val="lowerRoman"/>
      <w:lvlText w:val="%3."/>
      <w:lvlJc w:val="right"/>
      <w:pPr>
        <w:tabs>
          <w:tab w:val="left" w:pos="181"/>
        </w:tabs>
        <w:ind w:left="1174" w:hanging="630"/>
      </w:pPr>
      <w:rPr>
        <w:rFonts w:hint="eastAsia" w:ascii="宋体" w:hAnsi="宋体" w:eastAsia="宋体"/>
        <w:b w:val="0"/>
        <w:bCs w:val="0"/>
        <w:i w:val="0"/>
        <w:iCs w:val="0"/>
        <w:sz w:val="21"/>
        <w:szCs w:val="21"/>
        <w:vertAlign w:val="baseline"/>
      </w:rPr>
    </w:lvl>
    <w:lvl w:ilvl="3" w:tentative="0">
      <w:start w:val="1"/>
      <w:numFmt w:val="decimal"/>
      <w:lvlText w:val="%4."/>
      <w:lvlJc w:val="left"/>
      <w:pPr>
        <w:tabs>
          <w:tab w:val="left" w:pos="181"/>
        </w:tabs>
        <w:ind w:left="1174" w:hanging="630"/>
      </w:pPr>
      <w:rPr>
        <w:rFonts w:hint="default"/>
        <w:vertAlign w:val="baseline"/>
      </w:rPr>
    </w:lvl>
    <w:lvl w:ilvl="4" w:tentative="0">
      <w:start w:val="1"/>
      <w:numFmt w:val="lowerLetter"/>
      <w:lvlText w:val="%5)"/>
      <w:lvlJc w:val="left"/>
      <w:pPr>
        <w:tabs>
          <w:tab w:val="left" w:pos="181"/>
        </w:tabs>
        <w:ind w:left="1174" w:hanging="630"/>
      </w:pPr>
      <w:rPr>
        <w:rFonts w:hint="default"/>
        <w:vertAlign w:val="baseline"/>
      </w:rPr>
    </w:lvl>
    <w:lvl w:ilvl="5" w:tentative="0">
      <w:start w:val="1"/>
      <w:numFmt w:val="lowerRoman"/>
      <w:lvlText w:val="%6."/>
      <w:lvlJc w:val="right"/>
      <w:pPr>
        <w:tabs>
          <w:tab w:val="left" w:pos="181"/>
        </w:tabs>
        <w:ind w:left="1174" w:hanging="630"/>
      </w:pPr>
      <w:rPr>
        <w:rFonts w:hint="default"/>
        <w:vertAlign w:val="baseline"/>
      </w:rPr>
    </w:lvl>
    <w:lvl w:ilvl="6" w:tentative="0">
      <w:start w:val="1"/>
      <w:numFmt w:val="decimal"/>
      <w:lvlText w:val="%7."/>
      <w:lvlJc w:val="left"/>
      <w:pPr>
        <w:tabs>
          <w:tab w:val="left" w:pos="181"/>
        </w:tabs>
        <w:ind w:left="1174" w:hanging="630"/>
      </w:pPr>
      <w:rPr>
        <w:rFonts w:hint="default"/>
        <w:vertAlign w:val="baseline"/>
      </w:rPr>
    </w:lvl>
    <w:lvl w:ilvl="7" w:tentative="0">
      <w:start w:val="1"/>
      <w:numFmt w:val="lowerLetter"/>
      <w:lvlText w:val="%8)"/>
      <w:lvlJc w:val="left"/>
      <w:pPr>
        <w:tabs>
          <w:tab w:val="left" w:pos="181"/>
        </w:tabs>
        <w:ind w:left="1174" w:hanging="630"/>
      </w:pPr>
      <w:rPr>
        <w:rFonts w:hint="default"/>
        <w:vertAlign w:val="baseline"/>
      </w:rPr>
    </w:lvl>
    <w:lvl w:ilvl="8" w:tentative="0">
      <w:start w:val="1"/>
      <w:numFmt w:val="lowerRoman"/>
      <w:lvlText w:val="%9."/>
      <w:lvlJc w:val="right"/>
      <w:pPr>
        <w:tabs>
          <w:tab w:val="left" w:pos="181"/>
        </w:tabs>
        <w:ind w:left="1174" w:hanging="630"/>
      </w:pPr>
      <w:rPr>
        <w:rFonts w:hint="default"/>
        <w:vertAlign w:val="baseline"/>
      </w:rPr>
    </w:lvl>
  </w:abstractNum>
  <w:num w:numId="1">
    <w:abstractNumId w:val="2"/>
  </w:num>
  <w:num w:numId="2">
    <w:abstractNumId w:val="14"/>
  </w:num>
  <w:num w:numId="3">
    <w:abstractNumId w:val="3"/>
  </w:num>
  <w:num w:numId="4">
    <w:abstractNumId w:val="9"/>
  </w:num>
  <w:num w:numId="5">
    <w:abstractNumId w:val="15"/>
  </w:num>
  <w:num w:numId="6">
    <w:abstractNumId w:val="12"/>
  </w:num>
  <w:num w:numId="7">
    <w:abstractNumId w:val="5"/>
  </w:num>
  <w:num w:numId="8">
    <w:abstractNumId w:val="8"/>
  </w:num>
  <w:num w:numId="9">
    <w:abstractNumId w:val="16"/>
  </w:num>
  <w:num w:numId="10">
    <w:abstractNumId w:val="6"/>
  </w:num>
  <w:num w:numId="11">
    <w:abstractNumId w:val="11"/>
  </w:num>
  <w:num w:numId="12">
    <w:abstractNumId w:val="13"/>
  </w:num>
  <w:num w:numId="13">
    <w:abstractNumId w:val="7"/>
  </w:num>
  <w:num w:numId="14">
    <w:abstractNumId w:val="10"/>
  </w:num>
  <w:num w:numId="15">
    <w:abstractNumId w:val="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93E"/>
    <w:rsid w:val="00002F18"/>
    <w:rsid w:val="000501A9"/>
    <w:rsid w:val="0006505B"/>
    <w:rsid w:val="000C412E"/>
    <w:rsid w:val="000C532F"/>
    <w:rsid w:val="000E6C60"/>
    <w:rsid w:val="00161B49"/>
    <w:rsid w:val="001A29CB"/>
    <w:rsid w:val="001B2F80"/>
    <w:rsid w:val="001D2238"/>
    <w:rsid w:val="0020393E"/>
    <w:rsid w:val="00214899"/>
    <w:rsid w:val="00223B2C"/>
    <w:rsid w:val="002A0D1D"/>
    <w:rsid w:val="002C3835"/>
    <w:rsid w:val="002F33AF"/>
    <w:rsid w:val="003343D4"/>
    <w:rsid w:val="003429BC"/>
    <w:rsid w:val="00342E7A"/>
    <w:rsid w:val="00344713"/>
    <w:rsid w:val="00393906"/>
    <w:rsid w:val="003E1950"/>
    <w:rsid w:val="003E2797"/>
    <w:rsid w:val="005208A6"/>
    <w:rsid w:val="0053472E"/>
    <w:rsid w:val="005546E2"/>
    <w:rsid w:val="00573611"/>
    <w:rsid w:val="00581928"/>
    <w:rsid w:val="00595CB1"/>
    <w:rsid w:val="005F5DC9"/>
    <w:rsid w:val="00620620"/>
    <w:rsid w:val="00642638"/>
    <w:rsid w:val="006A6272"/>
    <w:rsid w:val="006B123E"/>
    <w:rsid w:val="006B5E71"/>
    <w:rsid w:val="006C5859"/>
    <w:rsid w:val="00740F46"/>
    <w:rsid w:val="007B3249"/>
    <w:rsid w:val="00873B7F"/>
    <w:rsid w:val="008B170C"/>
    <w:rsid w:val="008C3E2C"/>
    <w:rsid w:val="009041FD"/>
    <w:rsid w:val="00907228"/>
    <w:rsid w:val="009C714C"/>
    <w:rsid w:val="009F3893"/>
    <w:rsid w:val="00A055B8"/>
    <w:rsid w:val="00A419F8"/>
    <w:rsid w:val="00A46017"/>
    <w:rsid w:val="00A81C06"/>
    <w:rsid w:val="00A85DC3"/>
    <w:rsid w:val="00AA5439"/>
    <w:rsid w:val="00AB7DDA"/>
    <w:rsid w:val="00AD6604"/>
    <w:rsid w:val="00AF1493"/>
    <w:rsid w:val="00B12FDB"/>
    <w:rsid w:val="00B50DBA"/>
    <w:rsid w:val="00B564AE"/>
    <w:rsid w:val="00C22BCF"/>
    <w:rsid w:val="00C46941"/>
    <w:rsid w:val="00CC236D"/>
    <w:rsid w:val="00CC6AD5"/>
    <w:rsid w:val="00CD2391"/>
    <w:rsid w:val="00CF683E"/>
    <w:rsid w:val="00D03DB8"/>
    <w:rsid w:val="00D55BAE"/>
    <w:rsid w:val="00DE2DBC"/>
    <w:rsid w:val="00DE751A"/>
    <w:rsid w:val="00E011AA"/>
    <w:rsid w:val="00E45083"/>
    <w:rsid w:val="00E451EA"/>
    <w:rsid w:val="00E64CE6"/>
    <w:rsid w:val="00EB62DC"/>
    <w:rsid w:val="00EF58D8"/>
    <w:rsid w:val="00F12841"/>
    <w:rsid w:val="00F25C2A"/>
    <w:rsid w:val="00F342CC"/>
    <w:rsid w:val="00F965B8"/>
    <w:rsid w:val="00FE1707"/>
    <w:rsid w:val="0AD27AAB"/>
    <w:rsid w:val="0E180B38"/>
    <w:rsid w:val="2CF41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unhideWhenUsed="0" w:uiPriority="0" w:semiHidden="0" w:name="footnote reference"/>
    <w:lsdException w:unhideWhenUsed="0"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9"/>
    <w:qFormat/>
    <w:uiPriority w:val="0"/>
    <w:pPr>
      <w:keepNext/>
      <w:keepLines/>
      <w:spacing w:before="260" w:after="260" w:line="416" w:lineRule="auto"/>
      <w:ind w:left="576" w:hanging="576"/>
      <w:outlineLvl w:val="1"/>
    </w:pPr>
    <w:rPr>
      <w:rFonts w:ascii="Arial" w:hAnsi="Arial"/>
      <w:b/>
      <w:bCs/>
      <w:kern w:val="0"/>
      <w:sz w:val="32"/>
      <w:szCs w:val="32"/>
    </w:rPr>
  </w:style>
  <w:style w:type="paragraph" w:styleId="4">
    <w:name w:val="heading 3"/>
    <w:basedOn w:val="1"/>
    <w:next w:val="1"/>
    <w:link w:val="160"/>
    <w:qFormat/>
    <w:uiPriority w:val="9"/>
    <w:pPr>
      <w:keepNext/>
      <w:keepLines/>
      <w:widowControl/>
      <w:spacing w:before="260" w:after="260" w:line="416" w:lineRule="auto"/>
      <w:jc w:val="left"/>
      <w:outlineLvl w:val="2"/>
    </w:pPr>
    <w:rPr>
      <w:rFonts w:ascii="Helvetica" w:hAnsi="Helvetica" w:eastAsia="Arial Unicode MS"/>
      <w:b/>
      <w:bCs/>
      <w:color w:val="000000"/>
      <w:kern w:val="0"/>
      <w:sz w:val="32"/>
      <w:szCs w:val="32"/>
      <w:lang w:val="zh-CN"/>
    </w:rPr>
  </w:style>
  <w:style w:type="paragraph" w:styleId="5">
    <w:name w:val="heading 4"/>
    <w:basedOn w:val="1"/>
    <w:next w:val="1"/>
    <w:link w:val="161"/>
    <w:qFormat/>
    <w:uiPriority w:val="9"/>
    <w:pPr>
      <w:keepNext/>
      <w:keepLines/>
      <w:widowControl/>
      <w:spacing w:before="280" w:after="290" w:line="376" w:lineRule="auto"/>
      <w:ind w:left="420"/>
      <w:jc w:val="left"/>
      <w:outlineLvl w:val="3"/>
    </w:pPr>
    <w:rPr>
      <w:rFonts w:ascii="Helvetica" w:hAnsi="Helvetica" w:eastAsia="黑体"/>
      <w:bCs/>
      <w:color w:val="000000" w:themeColor="text1"/>
      <w:kern w:val="0"/>
      <w:szCs w:val="28"/>
      <w:lang w:val="zh-CN"/>
      <w14:textFill>
        <w14:solidFill>
          <w14:schemeClr w14:val="tx1"/>
        </w14:solidFill>
      </w14:textFill>
    </w:rPr>
  </w:style>
  <w:style w:type="character" w:default="1" w:styleId="43">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styleId="6">
    <w:name w:val="toc 7"/>
    <w:basedOn w:val="1"/>
    <w:next w:val="1"/>
    <w:qFormat/>
    <w:uiPriority w:val="39"/>
    <w:pPr>
      <w:tabs>
        <w:tab w:val="right" w:leader="dot" w:pos="9241"/>
      </w:tabs>
      <w:ind w:firstLine="500" w:firstLineChars="500"/>
      <w:jc w:val="left"/>
    </w:pPr>
    <w:rPr>
      <w:rFonts w:ascii="宋体"/>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qFormat/>
    <w:uiPriority w:val="0"/>
    <w:pPr>
      <w:shd w:val="clear" w:color="auto" w:fill="000080"/>
    </w:pPr>
  </w:style>
  <w:style w:type="paragraph" w:styleId="11">
    <w:name w:val="annotation text"/>
    <w:basedOn w:val="1"/>
    <w:link w:val="149"/>
    <w:qFormat/>
    <w:uiPriority w:val="0"/>
    <w:pPr>
      <w:jc w:val="left"/>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Body Text"/>
    <w:basedOn w:val="1"/>
    <w:qFormat/>
    <w:uiPriority w:val="0"/>
    <w:rPr>
      <w:rFonts w:ascii="Arial" w:hAnsi="Arial" w:cs="Arial"/>
      <w:b/>
      <w:bCs/>
    </w:rPr>
  </w:style>
  <w:style w:type="paragraph" w:styleId="14">
    <w:name w:val="Body Text Indent"/>
    <w:basedOn w:val="1"/>
    <w:link w:val="152"/>
    <w:qFormat/>
    <w:uiPriority w:val="0"/>
    <w:pPr>
      <w:spacing w:after="120"/>
      <w:ind w:left="420" w:leftChars="200"/>
    </w:pPr>
  </w:style>
  <w:style w:type="paragraph" w:styleId="15">
    <w:name w:val="index 4"/>
    <w:basedOn w:val="1"/>
    <w:next w:val="1"/>
    <w:qFormat/>
    <w:uiPriority w:val="0"/>
    <w:pPr>
      <w:ind w:left="840" w:hanging="210"/>
      <w:jc w:val="left"/>
    </w:pPr>
    <w:rPr>
      <w:rFonts w:ascii="Calibri" w:hAnsi="Calibri"/>
      <w:sz w:val="20"/>
      <w:szCs w:val="20"/>
    </w:rPr>
  </w:style>
  <w:style w:type="paragraph" w:styleId="16">
    <w:name w:val="toc 5"/>
    <w:basedOn w:val="1"/>
    <w:next w:val="1"/>
    <w:qFormat/>
    <w:uiPriority w:val="39"/>
    <w:pPr>
      <w:tabs>
        <w:tab w:val="right" w:leader="dot" w:pos="9241"/>
      </w:tabs>
      <w:ind w:firstLine="300" w:firstLineChars="300"/>
      <w:jc w:val="left"/>
    </w:pPr>
    <w:rPr>
      <w:rFonts w:ascii="宋体"/>
      <w:szCs w:val="21"/>
    </w:rPr>
  </w:style>
  <w:style w:type="paragraph" w:styleId="17">
    <w:name w:val="toc 3"/>
    <w:basedOn w:val="1"/>
    <w:next w:val="1"/>
    <w:qFormat/>
    <w:uiPriority w:val="39"/>
    <w:pPr>
      <w:tabs>
        <w:tab w:val="right" w:leader="dot" w:pos="9241"/>
      </w:tabs>
      <w:ind w:firstLine="100" w:firstLineChars="100"/>
      <w:jc w:val="left"/>
    </w:pPr>
    <w:rPr>
      <w:rFonts w:ascii="宋体"/>
      <w:szCs w:val="21"/>
    </w:rPr>
  </w:style>
  <w:style w:type="paragraph" w:styleId="18">
    <w:name w:val="toc 8"/>
    <w:basedOn w:val="1"/>
    <w:next w:val="1"/>
    <w:qFormat/>
    <w:uiPriority w:val="39"/>
    <w:pPr>
      <w:tabs>
        <w:tab w:val="right" w:leader="dot" w:pos="9241"/>
      </w:tabs>
      <w:ind w:firstLine="607" w:firstLineChars="600"/>
      <w:jc w:val="left"/>
    </w:pPr>
    <w:rPr>
      <w:rFonts w:ascii="宋体"/>
      <w:szCs w:val="21"/>
    </w:rPr>
  </w:style>
  <w:style w:type="paragraph" w:styleId="19">
    <w:name w:val="index 3"/>
    <w:basedOn w:val="1"/>
    <w:next w:val="1"/>
    <w:qFormat/>
    <w:uiPriority w:val="0"/>
    <w:pPr>
      <w:ind w:left="630" w:hanging="210"/>
      <w:jc w:val="left"/>
    </w:pPr>
    <w:rPr>
      <w:rFonts w:ascii="Calibri" w:hAnsi="Calibri"/>
      <w:sz w:val="20"/>
      <w:szCs w:val="20"/>
    </w:rPr>
  </w:style>
  <w:style w:type="paragraph" w:styleId="20">
    <w:name w:val="endnote text"/>
    <w:basedOn w:val="1"/>
    <w:qFormat/>
    <w:uiPriority w:val="0"/>
    <w:pPr>
      <w:snapToGrid w:val="0"/>
      <w:jc w:val="left"/>
    </w:pPr>
  </w:style>
  <w:style w:type="paragraph" w:styleId="21">
    <w:name w:val="Balloon Text"/>
    <w:basedOn w:val="1"/>
    <w:link w:val="148"/>
    <w:qFormat/>
    <w:uiPriority w:val="99"/>
    <w:rPr>
      <w:sz w:val="18"/>
      <w:szCs w:val="18"/>
    </w:rPr>
  </w:style>
  <w:style w:type="paragraph" w:styleId="22">
    <w:name w:val="footer"/>
    <w:basedOn w:val="1"/>
    <w:link w:val="156"/>
    <w:qFormat/>
    <w:uiPriority w:val="99"/>
    <w:pPr>
      <w:snapToGrid w:val="0"/>
      <w:ind w:right="210" w:rightChars="100"/>
      <w:jc w:val="right"/>
    </w:pPr>
    <w:rPr>
      <w:sz w:val="18"/>
      <w:szCs w:val="18"/>
    </w:rPr>
  </w:style>
  <w:style w:type="paragraph" w:styleId="23">
    <w:name w:val="header"/>
    <w:basedOn w:val="1"/>
    <w:link w:val="176"/>
    <w:qFormat/>
    <w:uiPriority w:val="99"/>
    <w:pPr>
      <w:snapToGrid w:val="0"/>
      <w:jc w:val="left"/>
    </w:pPr>
    <w:rPr>
      <w:sz w:val="18"/>
      <w:szCs w:val="18"/>
    </w:rPr>
  </w:style>
  <w:style w:type="paragraph" w:styleId="24">
    <w:name w:val="toc 1"/>
    <w:basedOn w:val="1"/>
    <w:next w:val="1"/>
    <w:qFormat/>
    <w:uiPriority w:val="39"/>
    <w:pPr>
      <w:tabs>
        <w:tab w:val="right" w:leader="dot" w:pos="9242"/>
      </w:tabs>
      <w:spacing w:beforeLines="25" w:afterLines="25"/>
      <w:jc w:val="left"/>
    </w:pPr>
    <w:rPr>
      <w:rFonts w:ascii="宋体"/>
      <w:szCs w:val="21"/>
    </w:rPr>
  </w:style>
  <w:style w:type="paragraph" w:styleId="25">
    <w:name w:val="toc 4"/>
    <w:basedOn w:val="1"/>
    <w:next w:val="1"/>
    <w:qFormat/>
    <w:uiPriority w:val="39"/>
    <w:pPr>
      <w:tabs>
        <w:tab w:val="right" w:leader="dot" w:pos="9241"/>
      </w:tabs>
      <w:ind w:firstLine="200" w:firstLineChars="200"/>
      <w:jc w:val="left"/>
    </w:pPr>
    <w:rPr>
      <w:rFonts w:ascii="宋体"/>
      <w:szCs w:val="21"/>
    </w:rPr>
  </w:style>
  <w:style w:type="paragraph" w:styleId="26">
    <w:name w:val="index heading"/>
    <w:basedOn w:val="1"/>
    <w:next w:val="27"/>
    <w:qFormat/>
    <w:uiPriority w:val="0"/>
    <w:pPr>
      <w:spacing w:before="120" w:after="120"/>
      <w:jc w:val="center"/>
    </w:pPr>
    <w:rPr>
      <w:rFonts w:ascii="Calibri" w:hAnsi="Calibri"/>
      <w:b/>
      <w:bCs/>
      <w:iCs/>
      <w:szCs w:val="20"/>
    </w:rPr>
  </w:style>
  <w:style w:type="paragraph" w:styleId="27">
    <w:name w:val="index 1"/>
    <w:basedOn w:val="1"/>
    <w:next w:val="28"/>
    <w:qFormat/>
    <w:uiPriority w:val="0"/>
    <w:pPr>
      <w:tabs>
        <w:tab w:val="right" w:leader="dot" w:pos="9299"/>
      </w:tabs>
      <w:jc w:val="left"/>
    </w:pPr>
    <w:rPr>
      <w:rFonts w:ascii="宋体"/>
      <w:szCs w:val="21"/>
    </w:rPr>
  </w:style>
  <w:style w:type="paragraph" w:customStyle="1" w:styleId="28">
    <w:name w:val="段"/>
    <w:link w:val="51"/>
    <w:qFormat/>
    <w:uiPriority w:val="0"/>
    <w:pPr>
      <w:tabs>
        <w:tab w:val="center" w:pos="420"/>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9">
    <w:name w:val="footnote text"/>
    <w:basedOn w:val="1"/>
    <w:qFormat/>
    <w:uiPriority w:val="0"/>
    <w:pPr>
      <w:numPr>
        <w:ilvl w:val="0"/>
        <w:numId w:val="1"/>
      </w:numPr>
      <w:snapToGrid w:val="0"/>
      <w:jc w:val="left"/>
    </w:pPr>
    <w:rPr>
      <w:rFonts w:ascii="宋体"/>
      <w:sz w:val="18"/>
      <w:szCs w:val="18"/>
    </w:rPr>
  </w:style>
  <w:style w:type="paragraph" w:styleId="30">
    <w:name w:val="toc 6"/>
    <w:basedOn w:val="1"/>
    <w:next w:val="1"/>
    <w:qFormat/>
    <w:uiPriority w:val="39"/>
    <w:pPr>
      <w:tabs>
        <w:tab w:val="right" w:leader="dot" w:pos="9241"/>
      </w:tabs>
      <w:ind w:firstLine="400" w:firstLineChars="400"/>
      <w:jc w:val="left"/>
    </w:pPr>
    <w:rPr>
      <w:rFonts w:ascii="宋体"/>
      <w:szCs w:val="21"/>
    </w:rPr>
  </w:style>
  <w:style w:type="paragraph" w:styleId="31">
    <w:name w:val="index 7"/>
    <w:basedOn w:val="1"/>
    <w:next w:val="1"/>
    <w:qFormat/>
    <w:uiPriority w:val="0"/>
    <w:pPr>
      <w:ind w:left="1470" w:hanging="210"/>
      <w:jc w:val="left"/>
    </w:pPr>
    <w:rPr>
      <w:rFonts w:ascii="Calibri" w:hAnsi="Calibri"/>
      <w:sz w:val="20"/>
      <w:szCs w:val="20"/>
    </w:rPr>
  </w:style>
  <w:style w:type="paragraph" w:styleId="32">
    <w:name w:val="index 9"/>
    <w:basedOn w:val="1"/>
    <w:next w:val="1"/>
    <w:qFormat/>
    <w:uiPriority w:val="0"/>
    <w:pPr>
      <w:ind w:left="1890" w:hanging="210"/>
      <w:jc w:val="left"/>
    </w:pPr>
    <w:rPr>
      <w:rFonts w:ascii="Calibri" w:hAnsi="Calibri"/>
      <w:sz w:val="20"/>
      <w:szCs w:val="20"/>
    </w:rPr>
  </w:style>
  <w:style w:type="paragraph" w:styleId="33">
    <w:name w:val="table of figures"/>
    <w:basedOn w:val="1"/>
    <w:next w:val="1"/>
    <w:unhideWhenUsed/>
    <w:qFormat/>
    <w:uiPriority w:val="99"/>
    <w:pPr>
      <w:ind w:left="200" w:hanging="200" w:hangingChars="200"/>
    </w:pPr>
  </w:style>
  <w:style w:type="paragraph" w:styleId="34">
    <w:name w:val="toc 2"/>
    <w:basedOn w:val="1"/>
    <w:next w:val="1"/>
    <w:qFormat/>
    <w:uiPriority w:val="39"/>
    <w:pPr>
      <w:tabs>
        <w:tab w:val="right" w:leader="dot" w:pos="9242"/>
      </w:tabs>
    </w:pPr>
    <w:rPr>
      <w:rFonts w:ascii="宋体"/>
      <w:szCs w:val="21"/>
    </w:rPr>
  </w:style>
  <w:style w:type="paragraph" w:styleId="35">
    <w:name w:val="toc 9"/>
    <w:basedOn w:val="1"/>
    <w:next w:val="1"/>
    <w:qFormat/>
    <w:uiPriority w:val="39"/>
    <w:pPr>
      <w:ind w:left="1470"/>
      <w:jc w:val="left"/>
    </w:pPr>
    <w:rPr>
      <w:sz w:val="20"/>
      <w:szCs w:val="20"/>
    </w:rPr>
  </w:style>
  <w:style w:type="paragraph" w:styleId="36">
    <w:name w:val="HTML Preformatted"/>
    <w:basedOn w:val="1"/>
    <w:link w:val="177"/>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2"/>
    <w:basedOn w:val="1"/>
    <w:next w:val="1"/>
    <w:qFormat/>
    <w:uiPriority w:val="0"/>
    <w:pPr>
      <w:ind w:left="420" w:hanging="210"/>
      <w:jc w:val="left"/>
    </w:pPr>
    <w:rPr>
      <w:rFonts w:ascii="Calibri" w:hAnsi="Calibri"/>
      <w:sz w:val="20"/>
      <w:szCs w:val="20"/>
    </w:rPr>
  </w:style>
  <w:style w:type="paragraph" w:styleId="39">
    <w:name w:val="Title"/>
    <w:basedOn w:val="1"/>
    <w:next w:val="1"/>
    <w:link w:val="188"/>
    <w:qFormat/>
    <w:uiPriority w:val="0"/>
    <w:pPr>
      <w:spacing w:before="240" w:after="60"/>
      <w:jc w:val="center"/>
      <w:outlineLvl w:val="0"/>
    </w:pPr>
    <w:rPr>
      <w:rFonts w:asciiTheme="majorHAnsi" w:hAnsiTheme="majorHAnsi" w:eastAsiaTheme="majorEastAsia" w:cstheme="majorBidi"/>
      <w:b/>
      <w:bCs/>
      <w:sz w:val="32"/>
      <w:szCs w:val="32"/>
    </w:rPr>
  </w:style>
  <w:style w:type="paragraph" w:styleId="40">
    <w:name w:val="annotation subject"/>
    <w:basedOn w:val="11"/>
    <w:next w:val="11"/>
    <w:link w:val="150"/>
    <w:qFormat/>
    <w:uiPriority w:val="99"/>
    <w:rPr>
      <w:b/>
      <w:bCs/>
    </w:rPr>
  </w:style>
  <w:style w:type="table" w:styleId="42">
    <w:name w:val="Table Grid"/>
    <w:basedOn w:val="41"/>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4">
    <w:name w:val="endnote reference"/>
    <w:qFormat/>
    <w:uiPriority w:val="0"/>
    <w:rPr>
      <w:vertAlign w:val="superscript"/>
    </w:rPr>
  </w:style>
  <w:style w:type="character" w:styleId="45">
    <w:name w:val="page number"/>
    <w:qFormat/>
    <w:uiPriority w:val="0"/>
    <w:rPr>
      <w:rFonts w:ascii="Times New Roman" w:hAnsi="Times New Roman" w:eastAsia="宋体"/>
      <w:sz w:val="18"/>
    </w:rPr>
  </w:style>
  <w:style w:type="character" w:styleId="46">
    <w:name w:val="FollowedHyperlink"/>
    <w:qFormat/>
    <w:uiPriority w:val="0"/>
    <w:rPr>
      <w:color w:val="800080"/>
      <w:u w:val="single"/>
    </w:rPr>
  </w:style>
  <w:style w:type="character" w:styleId="47">
    <w:name w:val="Emphasis"/>
    <w:basedOn w:val="43"/>
    <w:qFormat/>
    <w:uiPriority w:val="20"/>
    <w:rPr>
      <w:i/>
      <w:iCs/>
    </w:rPr>
  </w:style>
  <w:style w:type="character" w:styleId="48">
    <w:name w:val="Hyperlink"/>
    <w:qFormat/>
    <w:uiPriority w:val="99"/>
    <w:rPr>
      <w:color w:val="0000FF"/>
      <w:spacing w:val="0"/>
      <w:w w:val="100"/>
      <w:szCs w:val="21"/>
      <w:u w:val="single"/>
    </w:rPr>
  </w:style>
  <w:style w:type="character" w:styleId="49">
    <w:name w:val="annotation reference"/>
    <w:uiPriority w:val="99"/>
    <w:rPr>
      <w:sz w:val="21"/>
      <w:szCs w:val="21"/>
    </w:rPr>
  </w:style>
  <w:style w:type="character" w:styleId="50">
    <w:name w:val="footnote reference"/>
    <w:uiPriority w:val="0"/>
    <w:rPr>
      <w:vertAlign w:val="superscript"/>
    </w:rPr>
  </w:style>
  <w:style w:type="character" w:customStyle="1" w:styleId="51">
    <w:name w:val="段 Char"/>
    <w:link w:val="28"/>
    <w:qFormat/>
    <w:uiPriority w:val="0"/>
    <w:rPr>
      <w:rFonts w:ascii="宋体"/>
      <w:sz w:val="21"/>
    </w:rPr>
  </w:style>
  <w:style w:type="paragraph" w:customStyle="1" w:styleId="52">
    <w:name w:val="一级条标题"/>
    <w:next w:val="28"/>
    <w:link w:val="175"/>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5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5">
    <w:name w:val="章标题"/>
    <w:next w:val="28"/>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6">
    <w:name w:val="二级条标题"/>
    <w:basedOn w:val="52"/>
    <w:next w:val="28"/>
    <w:link w:val="181"/>
    <w:qFormat/>
    <w:uiPriority w:val="0"/>
    <w:pPr>
      <w:numPr>
        <w:ilvl w:val="2"/>
        <w:numId w:val="2"/>
      </w:numPr>
      <w:spacing w:before="50" w:after="50"/>
      <w:outlineLvl w:val="3"/>
    </w:pPr>
  </w:style>
  <w:style w:type="paragraph" w:customStyle="1" w:styleId="5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0">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1">
    <w:name w:val="三级条标题"/>
    <w:basedOn w:val="56"/>
    <w:next w:val="28"/>
    <w:qFormat/>
    <w:uiPriority w:val="0"/>
    <w:pPr>
      <w:numPr>
        <w:ilvl w:val="3"/>
        <w:numId w:val="0"/>
      </w:numPr>
      <w:outlineLvl w:val="4"/>
    </w:pPr>
  </w:style>
  <w:style w:type="paragraph" w:customStyle="1" w:styleId="62">
    <w:name w:val="示例"/>
    <w:next w:val="63"/>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4">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5">
    <w:name w:val="四级条标题"/>
    <w:basedOn w:val="61"/>
    <w:next w:val="28"/>
    <w:qFormat/>
    <w:uiPriority w:val="0"/>
    <w:pPr>
      <w:numPr>
        <w:ilvl w:val="4"/>
      </w:numPr>
      <w:outlineLvl w:val="5"/>
    </w:pPr>
  </w:style>
  <w:style w:type="paragraph" w:customStyle="1" w:styleId="66">
    <w:name w:val="五级条标题"/>
    <w:basedOn w:val="65"/>
    <w:next w:val="28"/>
    <w:qFormat/>
    <w:uiPriority w:val="0"/>
    <w:pPr>
      <w:numPr>
        <w:ilvl w:val="5"/>
      </w:numPr>
      <w:outlineLvl w:val="6"/>
    </w:pPr>
  </w:style>
  <w:style w:type="paragraph" w:customStyle="1" w:styleId="67">
    <w:name w:val="注："/>
    <w:next w:val="28"/>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8">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9">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70">
    <w:name w:val="列项◆（三级）"/>
    <w:basedOn w:val="1"/>
    <w:qFormat/>
    <w:uiPriority w:val="0"/>
    <w:pPr>
      <w:numPr>
        <w:ilvl w:val="2"/>
        <w:numId w:val="3"/>
      </w:numPr>
    </w:pPr>
    <w:rPr>
      <w:rFonts w:ascii="宋体"/>
      <w:szCs w:val="21"/>
    </w:rPr>
  </w:style>
  <w:style w:type="paragraph" w:customStyle="1" w:styleId="71">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72">
    <w:name w:val="示例×："/>
    <w:basedOn w:val="55"/>
    <w:qFormat/>
    <w:uiPriority w:val="0"/>
    <w:pPr>
      <w:numPr>
        <w:ilvl w:val="0"/>
        <w:numId w:val="8"/>
      </w:numPr>
      <w:outlineLvl w:val="9"/>
    </w:pPr>
    <w:rPr>
      <w:rFonts w:ascii="宋体" w:eastAsia="宋体"/>
      <w:sz w:val="18"/>
      <w:szCs w:val="18"/>
    </w:rPr>
  </w:style>
  <w:style w:type="paragraph" w:customStyle="1" w:styleId="73">
    <w:name w:val="二级无"/>
    <w:basedOn w:val="56"/>
    <w:qFormat/>
    <w:uiPriority w:val="0"/>
    <w:rPr>
      <w:rFonts w:ascii="宋体" w:eastAsia="宋体"/>
    </w:rPr>
  </w:style>
  <w:style w:type="paragraph" w:customStyle="1" w:styleId="74">
    <w:name w:val="注：（正文）"/>
    <w:basedOn w:val="67"/>
    <w:next w:val="28"/>
    <w:qFormat/>
    <w:uiPriority w:val="0"/>
  </w:style>
  <w:style w:type="paragraph" w:customStyle="1" w:styleId="75">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9">
    <w:name w:val="标准书眉_偶数页"/>
    <w:basedOn w:val="54"/>
    <w:next w:val="1"/>
    <w:qFormat/>
    <w:uiPriority w:val="0"/>
    <w:pPr>
      <w:jc w:val="left"/>
    </w:pPr>
  </w:style>
  <w:style w:type="paragraph" w:customStyle="1" w:styleId="80">
    <w:name w:val="标准书眉一"/>
    <w:qFormat/>
    <w:uiPriority w:val="0"/>
    <w:pPr>
      <w:jc w:val="both"/>
    </w:pPr>
    <w:rPr>
      <w:rFonts w:ascii="Times New Roman" w:hAnsi="Times New Roman" w:eastAsia="宋体" w:cs="Times New Roman"/>
      <w:lang w:val="en-US" w:eastAsia="zh-CN" w:bidi="ar-SA"/>
    </w:rPr>
  </w:style>
  <w:style w:type="paragraph" w:customStyle="1" w:styleId="81">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2">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3">
    <w:name w:val="发布"/>
    <w:qFormat/>
    <w:uiPriority w:val="0"/>
    <w:rPr>
      <w:rFonts w:ascii="黑体" w:eastAsia="黑体"/>
      <w:spacing w:val="85"/>
      <w:w w:val="100"/>
      <w:position w:val="3"/>
      <w:sz w:val="28"/>
      <w:szCs w:val="28"/>
    </w:rPr>
  </w:style>
  <w:style w:type="paragraph" w:customStyle="1" w:styleId="84">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9">
    <w:name w:val="封面标准英文名称"/>
    <w:basedOn w:val="88"/>
    <w:qFormat/>
    <w:uiPriority w:val="0"/>
    <w:pPr>
      <w:framePr w:wrap="around"/>
      <w:spacing w:before="370" w:line="400" w:lineRule="exact"/>
    </w:pPr>
    <w:rPr>
      <w:rFonts w:ascii="Times New Roman"/>
      <w:sz w:val="28"/>
      <w:szCs w:val="28"/>
    </w:rPr>
  </w:style>
  <w:style w:type="paragraph" w:customStyle="1" w:styleId="90">
    <w:name w:val="封面一致性程度标识"/>
    <w:basedOn w:val="89"/>
    <w:qFormat/>
    <w:uiPriority w:val="0"/>
    <w:pPr>
      <w:framePr w:wrap="around"/>
      <w:spacing w:before="440"/>
    </w:pPr>
    <w:rPr>
      <w:rFonts w:ascii="宋体" w:eastAsia="宋体"/>
    </w:rPr>
  </w:style>
  <w:style w:type="paragraph" w:customStyle="1" w:styleId="91">
    <w:name w:val="封面标准文稿类别"/>
    <w:basedOn w:val="90"/>
    <w:qFormat/>
    <w:uiPriority w:val="0"/>
    <w:pPr>
      <w:framePr w:wrap="around"/>
      <w:spacing w:after="160" w:line="240" w:lineRule="auto"/>
    </w:pPr>
    <w:rPr>
      <w:sz w:val="24"/>
    </w:rPr>
  </w:style>
  <w:style w:type="paragraph" w:customStyle="1" w:styleId="92">
    <w:name w:val="封面标准文稿编辑信息"/>
    <w:basedOn w:val="91"/>
    <w:qFormat/>
    <w:uiPriority w:val="0"/>
    <w:pPr>
      <w:framePr w:wrap="around"/>
      <w:spacing w:before="180" w:line="180" w:lineRule="exact"/>
    </w:pPr>
    <w:rPr>
      <w:sz w:val="21"/>
    </w:rPr>
  </w:style>
  <w:style w:type="paragraph" w:customStyle="1" w:styleId="93">
    <w:name w:val="封面正文"/>
    <w:qFormat/>
    <w:uiPriority w:val="0"/>
    <w:pPr>
      <w:jc w:val="both"/>
    </w:pPr>
    <w:rPr>
      <w:rFonts w:ascii="Times New Roman" w:hAnsi="Times New Roman" w:eastAsia="宋体" w:cs="Times New Roman"/>
      <w:lang w:val="en-US" w:eastAsia="zh-CN" w:bidi="ar-SA"/>
    </w:rPr>
  </w:style>
  <w:style w:type="paragraph" w:customStyle="1" w:styleId="94">
    <w:name w:val="附录标识"/>
    <w:basedOn w:val="1"/>
    <w:next w:val="28"/>
    <w:qFormat/>
    <w:uiPriority w:val="0"/>
    <w:pPr>
      <w:keepNext/>
      <w:widowControl/>
      <w:numPr>
        <w:ilvl w:val="0"/>
        <w:numId w:val="10"/>
      </w:numPr>
      <w:shd w:val="clear" w:color="FFFFFF" w:fill="FFFFFF"/>
      <w:tabs>
        <w:tab w:val="left" w:pos="6405"/>
      </w:tabs>
      <w:spacing w:before="640" w:after="280"/>
      <w:jc w:val="center"/>
      <w:outlineLvl w:val="0"/>
    </w:pPr>
    <w:rPr>
      <w:rFonts w:ascii="黑体" w:eastAsia="黑体"/>
      <w:kern w:val="0"/>
      <w:szCs w:val="20"/>
    </w:rPr>
  </w:style>
  <w:style w:type="paragraph" w:customStyle="1" w:styleId="95">
    <w:name w:val="附录标题"/>
    <w:basedOn w:val="28"/>
    <w:next w:val="28"/>
    <w:qFormat/>
    <w:uiPriority w:val="0"/>
    <w:pPr>
      <w:ind w:firstLine="0" w:firstLineChars="0"/>
      <w:jc w:val="center"/>
    </w:pPr>
    <w:rPr>
      <w:rFonts w:ascii="黑体" w:eastAsia="黑体"/>
    </w:rPr>
  </w:style>
  <w:style w:type="paragraph" w:customStyle="1" w:styleId="96">
    <w:name w:val="附录表标号"/>
    <w:basedOn w:val="1"/>
    <w:next w:val="28"/>
    <w:qFormat/>
    <w:uiPriority w:val="0"/>
    <w:pPr>
      <w:numPr>
        <w:ilvl w:val="0"/>
        <w:numId w:val="11"/>
      </w:numPr>
      <w:spacing w:line="14" w:lineRule="exact"/>
      <w:jc w:val="center"/>
      <w:outlineLvl w:val="0"/>
    </w:pPr>
    <w:rPr>
      <w:color w:val="FFFFFF"/>
    </w:rPr>
  </w:style>
  <w:style w:type="paragraph" w:customStyle="1" w:styleId="97">
    <w:name w:val="附录表标题"/>
    <w:basedOn w:val="1"/>
    <w:next w:val="28"/>
    <w:qFormat/>
    <w:uiPriority w:val="0"/>
    <w:pPr>
      <w:numPr>
        <w:ilvl w:val="1"/>
        <w:numId w:val="11"/>
      </w:numPr>
      <w:spacing w:beforeLines="50" w:afterLines="50"/>
      <w:jc w:val="center"/>
    </w:pPr>
    <w:rPr>
      <w:rFonts w:ascii="黑体" w:eastAsia="黑体"/>
      <w:szCs w:val="21"/>
    </w:rPr>
  </w:style>
  <w:style w:type="paragraph" w:customStyle="1" w:styleId="98">
    <w:name w:val="附录二级条标题"/>
    <w:basedOn w:val="1"/>
    <w:next w:val="28"/>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9">
    <w:name w:val="附录二级无"/>
    <w:basedOn w:val="98"/>
    <w:qFormat/>
    <w:uiPriority w:val="0"/>
    <w:pPr>
      <w:tabs>
        <w:tab w:val="clear" w:pos="360"/>
      </w:tabs>
    </w:pPr>
    <w:rPr>
      <w:rFonts w:ascii="宋体" w:eastAsia="宋体"/>
      <w:szCs w:val="21"/>
    </w:rPr>
  </w:style>
  <w:style w:type="paragraph" w:customStyle="1" w:styleId="100">
    <w:name w:val="附录公式"/>
    <w:basedOn w:val="28"/>
    <w:next w:val="28"/>
    <w:link w:val="101"/>
    <w:qFormat/>
    <w:uiPriority w:val="0"/>
  </w:style>
  <w:style w:type="character" w:customStyle="1" w:styleId="101">
    <w:name w:val="附录公式 Char"/>
    <w:basedOn w:val="51"/>
    <w:link w:val="100"/>
    <w:qFormat/>
    <w:uiPriority w:val="0"/>
    <w:rPr>
      <w:rFonts w:ascii="宋体"/>
      <w:sz w:val="21"/>
      <w:lang w:val="en-US" w:eastAsia="zh-CN" w:bidi="ar-SA"/>
    </w:rPr>
  </w:style>
  <w:style w:type="paragraph" w:customStyle="1" w:styleId="102">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03">
    <w:name w:val="附录三级条标题"/>
    <w:basedOn w:val="98"/>
    <w:next w:val="28"/>
    <w:qFormat/>
    <w:uiPriority w:val="0"/>
    <w:pPr>
      <w:numPr>
        <w:ilvl w:val="4"/>
        <w:numId w:val="0"/>
      </w:numPr>
      <w:outlineLvl w:val="4"/>
    </w:pPr>
  </w:style>
  <w:style w:type="paragraph" w:customStyle="1" w:styleId="104">
    <w:name w:val="附录三级无"/>
    <w:basedOn w:val="103"/>
    <w:qFormat/>
    <w:uiPriority w:val="0"/>
    <w:pPr>
      <w:tabs>
        <w:tab w:val="clear" w:pos="360"/>
      </w:tabs>
    </w:pPr>
    <w:rPr>
      <w:rFonts w:ascii="宋体" w:eastAsia="宋体"/>
      <w:szCs w:val="21"/>
    </w:rPr>
  </w:style>
  <w:style w:type="paragraph" w:customStyle="1" w:styleId="105">
    <w:name w:val="附录数字编号列项（二级）"/>
    <w:qFormat/>
    <w:uiPriority w:val="99"/>
    <w:pPr>
      <w:numPr>
        <w:ilvl w:val="1"/>
        <w:numId w:val="12"/>
      </w:numPr>
    </w:pPr>
    <w:rPr>
      <w:rFonts w:ascii="宋体" w:hAnsi="Times New Roman" w:eastAsia="宋体" w:cs="Times New Roman"/>
      <w:sz w:val="21"/>
      <w:lang w:val="en-US" w:eastAsia="zh-CN" w:bidi="ar-SA"/>
    </w:rPr>
  </w:style>
  <w:style w:type="paragraph" w:customStyle="1" w:styleId="106">
    <w:name w:val="附录四级条标题"/>
    <w:basedOn w:val="103"/>
    <w:next w:val="28"/>
    <w:qFormat/>
    <w:uiPriority w:val="0"/>
    <w:pPr>
      <w:numPr>
        <w:ilvl w:val="5"/>
      </w:numPr>
      <w:outlineLvl w:val="5"/>
    </w:pPr>
  </w:style>
  <w:style w:type="paragraph" w:customStyle="1" w:styleId="107">
    <w:name w:val="附录四级无"/>
    <w:basedOn w:val="106"/>
    <w:qFormat/>
    <w:uiPriority w:val="0"/>
    <w:pPr>
      <w:tabs>
        <w:tab w:val="clear" w:pos="360"/>
      </w:tabs>
    </w:pPr>
    <w:rPr>
      <w:rFonts w:ascii="宋体" w:eastAsia="宋体"/>
      <w:szCs w:val="21"/>
    </w:rPr>
  </w:style>
  <w:style w:type="paragraph" w:customStyle="1" w:styleId="108">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9">
    <w:name w:val="附录图标题"/>
    <w:basedOn w:val="1"/>
    <w:next w:val="28"/>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10">
    <w:name w:val="附录五级条标题"/>
    <w:basedOn w:val="106"/>
    <w:next w:val="28"/>
    <w:qFormat/>
    <w:uiPriority w:val="0"/>
    <w:pPr>
      <w:numPr>
        <w:ilvl w:val="6"/>
      </w:numPr>
      <w:outlineLvl w:val="6"/>
    </w:pPr>
  </w:style>
  <w:style w:type="paragraph" w:customStyle="1" w:styleId="111">
    <w:name w:val="附录五级无"/>
    <w:basedOn w:val="110"/>
    <w:qFormat/>
    <w:uiPriority w:val="0"/>
    <w:pPr>
      <w:tabs>
        <w:tab w:val="clear" w:pos="360"/>
      </w:tabs>
    </w:pPr>
    <w:rPr>
      <w:rFonts w:ascii="宋体" w:eastAsia="宋体"/>
      <w:szCs w:val="21"/>
    </w:rPr>
  </w:style>
  <w:style w:type="paragraph" w:customStyle="1" w:styleId="112">
    <w:name w:val="附录章标题"/>
    <w:next w:val="28"/>
    <w:qFormat/>
    <w:uiPriority w:val="0"/>
    <w:pPr>
      <w:numPr>
        <w:ilvl w:val="1"/>
        <w:numId w:val="10"/>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3">
    <w:name w:val="附录一级条标题"/>
    <w:basedOn w:val="112"/>
    <w:next w:val="28"/>
    <w:qFormat/>
    <w:uiPriority w:val="0"/>
    <w:pPr>
      <w:numPr>
        <w:ilvl w:val="2"/>
        <w:numId w:val="0"/>
      </w:numPr>
      <w:tabs>
        <w:tab w:val="left" w:pos="360"/>
      </w:tabs>
      <w:autoSpaceDN w:val="0"/>
      <w:spacing w:beforeLines="50" w:afterLines="50"/>
      <w:outlineLvl w:val="2"/>
    </w:pPr>
  </w:style>
  <w:style w:type="paragraph" w:customStyle="1" w:styleId="114">
    <w:name w:val="附录一级无"/>
    <w:basedOn w:val="113"/>
    <w:qFormat/>
    <w:uiPriority w:val="0"/>
    <w:pPr>
      <w:tabs>
        <w:tab w:val="clear" w:pos="360"/>
      </w:tabs>
    </w:pPr>
    <w:rPr>
      <w:rFonts w:ascii="宋体" w:eastAsia="宋体"/>
      <w:szCs w:val="21"/>
    </w:rPr>
  </w:style>
  <w:style w:type="paragraph" w:customStyle="1" w:styleId="115">
    <w:name w:val="附录字母编号列项（一级）"/>
    <w:qFormat/>
    <w:uiPriority w:val="99"/>
    <w:pPr>
      <w:numPr>
        <w:ilvl w:val="0"/>
        <w:numId w:val="12"/>
      </w:numPr>
    </w:pPr>
    <w:rPr>
      <w:rFonts w:ascii="宋体" w:hAnsi="Times New Roman" w:eastAsia="宋体" w:cs="Times New Roman"/>
      <w:sz w:val="21"/>
      <w:lang w:val="en-US" w:eastAsia="zh-CN" w:bidi="ar-SA"/>
    </w:rPr>
  </w:style>
  <w:style w:type="paragraph" w:customStyle="1" w:styleId="11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9">
    <w:name w:val="其他标准标志"/>
    <w:basedOn w:val="76"/>
    <w:qFormat/>
    <w:uiPriority w:val="0"/>
    <w:pPr>
      <w:framePr w:w="6101" w:wrap="around" w:vAnchor="page" w:hAnchor="page" w:x="4673" w:y="942"/>
    </w:pPr>
    <w:rPr>
      <w:w w:val="130"/>
    </w:rPr>
  </w:style>
  <w:style w:type="paragraph" w:customStyle="1" w:styleId="12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1">
    <w:name w:val="其他发布部门"/>
    <w:basedOn w:val="84"/>
    <w:qFormat/>
    <w:uiPriority w:val="0"/>
    <w:pPr>
      <w:framePr w:wrap="around" w:y="15310"/>
      <w:spacing w:line="0" w:lineRule="atLeast"/>
    </w:pPr>
    <w:rPr>
      <w:rFonts w:ascii="黑体" w:eastAsia="黑体"/>
      <w:b w:val="0"/>
    </w:rPr>
  </w:style>
  <w:style w:type="paragraph" w:customStyle="1" w:styleId="122">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3">
    <w:name w:val="三级无"/>
    <w:basedOn w:val="61"/>
    <w:qFormat/>
    <w:uiPriority w:val="0"/>
    <w:rPr>
      <w:rFonts w:ascii="宋体" w:eastAsia="宋体"/>
    </w:rPr>
  </w:style>
  <w:style w:type="paragraph" w:customStyle="1" w:styleId="124">
    <w:name w:val="实施日期"/>
    <w:basedOn w:val="85"/>
    <w:qFormat/>
    <w:uiPriority w:val="0"/>
    <w:pPr>
      <w:framePr w:wrap="around" w:vAnchor="page" w:hAnchor="text"/>
      <w:jc w:val="right"/>
    </w:pPr>
  </w:style>
  <w:style w:type="paragraph" w:customStyle="1" w:styleId="125">
    <w:name w:val="示例后文字"/>
    <w:basedOn w:val="28"/>
    <w:next w:val="28"/>
    <w:qFormat/>
    <w:uiPriority w:val="0"/>
    <w:pPr>
      <w:ind w:firstLine="360"/>
    </w:pPr>
    <w:rPr>
      <w:sz w:val="18"/>
    </w:rPr>
  </w:style>
  <w:style w:type="paragraph" w:customStyle="1" w:styleId="126">
    <w:name w:val="首示例"/>
    <w:next w:val="28"/>
    <w:link w:val="127"/>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7">
    <w:name w:val="首示例 Char"/>
    <w:link w:val="126"/>
    <w:qFormat/>
    <w:uiPriority w:val="0"/>
    <w:rPr>
      <w:rFonts w:ascii="宋体" w:hAnsi="宋体"/>
      <w:kern w:val="2"/>
      <w:sz w:val="18"/>
      <w:szCs w:val="18"/>
    </w:rPr>
  </w:style>
  <w:style w:type="paragraph" w:customStyle="1" w:styleId="128">
    <w:name w:val="四级无"/>
    <w:basedOn w:val="65"/>
    <w:qFormat/>
    <w:uiPriority w:val="0"/>
    <w:rPr>
      <w:rFonts w:ascii="宋体" w:eastAsia="宋体"/>
    </w:rPr>
  </w:style>
  <w:style w:type="paragraph" w:customStyle="1" w:styleId="129">
    <w:name w:val="条文脚注"/>
    <w:basedOn w:val="29"/>
    <w:qFormat/>
    <w:uiPriority w:val="0"/>
    <w:pPr>
      <w:numPr>
        <w:numId w:val="0"/>
      </w:numPr>
      <w:jc w:val="both"/>
    </w:pPr>
  </w:style>
  <w:style w:type="paragraph" w:customStyle="1" w:styleId="130">
    <w:name w:val="图标脚注说明"/>
    <w:basedOn w:val="28"/>
    <w:qFormat/>
    <w:uiPriority w:val="0"/>
    <w:pPr>
      <w:ind w:left="840" w:hanging="420" w:firstLineChars="0"/>
    </w:pPr>
    <w:rPr>
      <w:sz w:val="18"/>
      <w:szCs w:val="18"/>
    </w:rPr>
  </w:style>
  <w:style w:type="paragraph" w:customStyle="1" w:styleId="131">
    <w:name w:val="图表脚注说明"/>
    <w:basedOn w:val="1"/>
    <w:qFormat/>
    <w:uiPriority w:val="0"/>
    <w:pPr>
      <w:numPr>
        <w:ilvl w:val="0"/>
        <w:numId w:val="15"/>
      </w:numPr>
    </w:pPr>
    <w:rPr>
      <w:rFonts w:ascii="宋体"/>
      <w:sz w:val="18"/>
      <w:szCs w:val="18"/>
    </w:rPr>
  </w:style>
  <w:style w:type="paragraph" w:customStyle="1" w:styleId="132">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4">
    <w:name w:val="五级无"/>
    <w:basedOn w:val="66"/>
    <w:qFormat/>
    <w:uiPriority w:val="0"/>
    <w:rPr>
      <w:rFonts w:ascii="宋体" w:eastAsia="宋体"/>
    </w:rPr>
  </w:style>
  <w:style w:type="paragraph" w:customStyle="1" w:styleId="135">
    <w:name w:val="一级无"/>
    <w:basedOn w:val="52"/>
    <w:qFormat/>
    <w:uiPriority w:val="0"/>
    <w:rPr>
      <w:rFonts w:ascii="宋体" w:eastAsia="宋体"/>
    </w:rPr>
  </w:style>
  <w:style w:type="paragraph" w:customStyle="1" w:styleId="136">
    <w:name w:val="正文表标题"/>
    <w:next w:val="28"/>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7">
    <w:name w:val="正文公式编号制表符"/>
    <w:basedOn w:val="28"/>
    <w:next w:val="28"/>
    <w:qFormat/>
    <w:uiPriority w:val="0"/>
    <w:pPr>
      <w:ind w:firstLine="0" w:firstLineChars="0"/>
    </w:pPr>
  </w:style>
  <w:style w:type="paragraph" w:customStyle="1" w:styleId="138">
    <w:name w:val="正文图标题"/>
    <w:next w:val="2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9">
    <w:name w:val="终结线"/>
    <w:basedOn w:val="1"/>
    <w:qFormat/>
    <w:uiPriority w:val="0"/>
    <w:pPr>
      <w:framePr w:hSpace="181" w:vSpace="181" w:wrap="around" w:vAnchor="text" w:hAnchor="margin" w:xAlign="center" w:y="285"/>
    </w:pPr>
  </w:style>
  <w:style w:type="paragraph" w:customStyle="1" w:styleId="140">
    <w:name w:val="其他发布日期"/>
    <w:basedOn w:val="85"/>
    <w:qFormat/>
    <w:uiPriority w:val="0"/>
    <w:pPr>
      <w:framePr w:wrap="around" w:vAnchor="page" w:hAnchor="text" w:x="1419"/>
    </w:pPr>
  </w:style>
  <w:style w:type="paragraph" w:customStyle="1" w:styleId="141">
    <w:name w:val="其他实施日期"/>
    <w:basedOn w:val="124"/>
    <w:qFormat/>
    <w:uiPriority w:val="0"/>
    <w:pPr>
      <w:framePr w:wrap="around"/>
    </w:pPr>
  </w:style>
  <w:style w:type="paragraph" w:customStyle="1" w:styleId="142">
    <w:name w:val="封面标准名称2"/>
    <w:basedOn w:val="88"/>
    <w:qFormat/>
    <w:uiPriority w:val="0"/>
    <w:pPr>
      <w:framePr w:wrap="around" w:y="4469"/>
      <w:spacing w:beforeLines="630"/>
    </w:pPr>
  </w:style>
  <w:style w:type="paragraph" w:customStyle="1" w:styleId="143">
    <w:name w:val="封面标准英文名称2"/>
    <w:basedOn w:val="89"/>
    <w:qFormat/>
    <w:uiPriority w:val="0"/>
    <w:pPr>
      <w:framePr w:wrap="around" w:y="4469"/>
    </w:pPr>
  </w:style>
  <w:style w:type="paragraph" w:customStyle="1" w:styleId="144">
    <w:name w:val="封面一致性程度标识2"/>
    <w:basedOn w:val="90"/>
    <w:qFormat/>
    <w:uiPriority w:val="0"/>
    <w:pPr>
      <w:framePr w:wrap="around" w:y="4469"/>
    </w:pPr>
  </w:style>
  <w:style w:type="paragraph" w:customStyle="1" w:styleId="145">
    <w:name w:val="封面标准文稿类别2"/>
    <w:basedOn w:val="91"/>
    <w:qFormat/>
    <w:uiPriority w:val="0"/>
    <w:pPr>
      <w:framePr w:wrap="around" w:y="4469"/>
    </w:pPr>
  </w:style>
  <w:style w:type="paragraph" w:customStyle="1" w:styleId="146">
    <w:name w:val="封面标准文稿编辑信息2"/>
    <w:basedOn w:val="92"/>
    <w:qFormat/>
    <w:uiPriority w:val="0"/>
    <w:pPr>
      <w:framePr w:wrap="around" w:y="4469"/>
    </w:pPr>
  </w:style>
  <w:style w:type="paragraph" w:customStyle="1" w:styleId="147">
    <w:name w:val="Default"/>
    <w:qFormat/>
    <w:uiPriority w:val="0"/>
    <w:pPr>
      <w:widowControl w:val="0"/>
      <w:autoSpaceDE w:val="0"/>
      <w:autoSpaceDN w:val="0"/>
      <w:adjustRightInd w:val="0"/>
    </w:pPr>
    <w:rPr>
      <w:rFonts w:ascii="宋体" w:hAnsi="Times New Roman" w:eastAsia="宋体" w:cs="Times New Roman"/>
      <w:lang w:val="en-US" w:eastAsia="zh-CN" w:bidi="ar-SA"/>
    </w:rPr>
  </w:style>
  <w:style w:type="character" w:customStyle="1" w:styleId="148">
    <w:name w:val="批注框文本 字符"/>
    <w:link w:val="21"/>
    <w:qFormat/>
    <w:uiPriority w:val="99"/>
    <w:rPr>
      <w:kern w:val="2"/>
      <w:sz w:val="18"/>
      <w:szCs w:val="18"/>
    </w:rPr>
  </w:style>
  <w:style w:type="character" w:customStyle="1" w:styleId="149">
    <w:name w:val="批注文字 字符"/>
    <w:link w:val="11"/>
    <w:qFormat/>
    <w:uiPriority w:val="99"/>
    <w:rPr>
      <w:kern w:val="2"/>
      <w:sz w:val="21"/>
      <w:szCs w:val="24"/>
    </w:rPr>
  </w:style>
  <w:style w:type="character" w:customStyle="1" w:styleId="150">
    <w:name w:val="批注主题 字符"/>
    <w:link w:val="40"/>
    <w:qFormat/>
    <w:uiPriority w:val="99"/>
    <w:rPr>
      <w:b/>
      <w:bCs/>
      <w:kern w:val="2"/>
      <w:sz w:val="21"/>
      <w:szCs w:val="24"/>
    </w:rPr>
  </w:style>
  <w:style w:type="paragraph" w:customStyle="1" w:styleId="151">
    <w:name w:val="修订1"/>
    <w:qFormat/>
    <w:uiPriority w:val="99"/>
    <w:rPr>
      <w:rFonts w:ascii="Times New Roman" w:hAnsi="Times New Roman" w:eastAsia="宋体" w:cs="Times New Roman"/>
      <w:kern w:val="2"/>
      <w:sz w:val="21"/>
      <w:szCs w:val="24"/>
      <w:lang w:val="en-US" w:eastAsia="zh-CN" w:bidi="ar-SA"/>
    </w:rPr>
  </w:style>
  <w:style w:type="character" w:customStyle="1" w:styleId="152">
    <w:name w:val="正文文本缩进 字符"/>
    <w:link w:val="14"/>
    <w:qFormat/>
    <w:uiPriority w:val="0"/>
    <w:rPr>
      <w:kern w:val="2"/>
      <w:sz w:val="21"/>
      <w:szCs w:val="24"/>
    </w:rPr>
  </w:style>
  <w:style w:type="paragraph" w:customStyle="1" w:styleId="153">
    <w:name w:val="正文1"/>
    <w:qFormat/>
    <w:uiPriority w:val="0"/>
    <w:pPr>
      <w:ind w:firstLine="480"/>
      <w:jc w:val="both"/>
    </w:pPr>
    <w:rPr>
      <w:rFonts w:ascii="Times New Roman" w:hAnsi="Times New Roman" w:eastAsia="宋体" w:cs="Times New Roman"/>
      <w:lang w:val="en-US" w:eastAsia="zh-CN" w:bidi="ar-SA"/>
    </w:rPr>
  </w:style>
  <w:style w:type="character" w:customStyle="1" w:styleId="154">
    <w:name w:val="标题 1 字符"/>
    <w:link w:val="2"/>
    <w:qFormat/>
    <w:uiPriority w:val="0"/>
    <w:rPr>
      <w:b/>
      <w:bCs/>
      <w:kern w:val="44"/>
      <w:sz w:val="44"/>
      <w:szCs w:val="44"/>
    </w:rPr>
  </w:style>
  <w:style w:type="paragraph" w:customStyle="1" w:styleId="155">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156">
    <w:name w:val="页脚 字符"/>
    <w:link w:val="22"/>
    <w:qFormat/>
    <w:uiPriority w:val="99"/>
    <w:rPr>
      <w:kern w:val="2"/>
      <w:sz w:val="18"/>
      <w:szCs w:val="18"/>
    </w:rPr>
  </w:style>
  <w:style w:type="character" w:customStyle="1" w:styleId="157">
    <w:name w:val="正文首行缩进 Char"/>
    <w:link w:val="158"/>
    <w:qFormat/>
    <w:uiPriority w:val="0"/>
    <w:rPr>
      <w:rFonts w:ascii="Arial" w:hAnsi="Arial" w:cs="Arial"/>
      <w:b/>
      <w:bCs/>
      <w:kern w:val="2"/>
      <w:sz w:val="21"/>
      <w:szCs w:val="24"/>
    </w:rPr>
  </w:style>
  <w:style w:type="paragraph" w:customStyle="1" w:styleId="158">
    <w:name w:val="正文首行缩进1"/>
    <w:basedOn w:val="13"/>
    <w:link w:val="157"/>
    <w:qFormat/>
    <w:uiPriority w:val="0"/>
    <w:pPr>
      <w:spacing w:after="120"/>
      <w:ind w:firstLine="420" w:firstLineChars="100"/>
    </w:pPr>
    <w:rPr>
      <w:rFonts w:cs="Times New Roman"/>
    </w:rPr>
  </w:style>
  <w:style w:type="character" w:customStyle="1" w:styleId="159">
    <w:name w:val="标题 2 字符"/>
    <w:link w:val="3"/>
    <w:qFormat/>
    <w:uiPriority w:val="0"/>
    <w:rPr>
      <w:rFonts w:ascii="Arial" w:hAnsi="Arial"/>
      <w:b/>
      <w:bCs/>
      <w:sz w:val="32"/>
      <w:szCs w:val="32"/>
    </w:rPr>
  </w:style>
  <w:style w:type="character" w:customStyle="1" w:styleId="160">
    <w:name w:val="标题 3 字符"/>
    <w:link w:val="4"/>
    <w:qFormat/>
    <w:uiPriority w:val="9"/>
    <w:rPr>
      <w:rFonts w:ascii="Helvetica" w:hAnsi="Helvetica" w:eastAsia="Arial Unicode MS" w:cs="Arial Unicode MS"/>
      <w:b/>
      <w:bCs/>
      <w:color w:val="000000"/>
      <w:sz w:val="32"/>
      <w:szCs w:val="32"/>
      <w:lang w:val="zh-CN"/>
    </w:rPr>
  </w:style>
  <w:style w:type="character" w:customStyle="1" w:styleId="161">
    <w:name w:val="标题 4 字符"/>
    <w:link w:val="5"/>
    <w:qFormat/>
    <w:uiPriority w:val="9"/>
    <w:rPr>
      <w:rFonts w:ascii="Helvetica" w:hAnsi="Helvetica" w:eastAsia="黑体"/>
      <w:bCs/>
      <w:color w:val="000000" w:themeColor="text1"/>
      <w:sz w:val="21"/>
      <w:szCs w:val="28"/>
      <w:lang w:val="zh-CN"/>
      <w14:textFill>
        <w14:solidFill>
          <w14:schemeClr w14:val="tx1"/>
        </w14:solidFill>
      </w14:textFill>
    </w:rPr>
  </w:style>
  <w:style w:type="table" w:customStyle="1" w:styleId="162">
    <w:name w:val="Table Normal"/>
    <w:qFormat/>
    <w:uiPriority w:val="0"/>
    <w:tblPr>
      <w:tblCellMar>
        <w:top w:w="0" w:type="dxa"/>
        <w:left w:w="0" w:type="dxa"/>
        <w:bottom w:w="0" w:type="dxa"/>
        <w:right w:w="0" w:type="dxa"/>
      </w:tblCellMar>
    </w:tblPr>
  </w:style>
  <w:style w:type="paragraph" w:customStyle="1" w:styleId="163">
    <w:name w:val="页眉与页脚"/>
    <w:qFormat/>
    <w:uiPriority w:val="0"/>
    <w:pPr>
      <w:tabs>
        <w:tab w:val="right" w:pos="9020"/>
      </w:tabs>
    </w:pPr>
    <w:rPr>
      <w:rFonts w:ascii="Helvetica" w:hAnsi="Helvetica" w:eastAsia="Arial Unicode MS" w:cs="Arial Unicode MS"/>
      <w:color w:val="000000"/>
      <w:sz w:val="24"/>
      <w:szCs w:val="24"/>
      <w:lang w:val="en-US" w:eastAsia="zh-CN" w:bidi="ar-SA"/>
    </w:rPr>
  </w:style>
  <w:style w:type="paragraph" w:styleId="164">
    <w:name w:val="List Paragraph"/>
    <w:link w:val="173"/>
    <w:qFormat/>
    <w:uiPriority w:val="99"/>
    <w:pPr>
      <w:widowControl w:val="0"/>
      <w:ind w:firstLine="420"/>
      <w:jc w:val="both"/>
    </w:pPr>
    <w:rPr>
      <w:rFonts w:ascii="等线" w:hAnsi="等线" w:eastAsia="等线" w:cs="Times New Roman"/>
      <w:color w:val="000000"/>
      <w:kern w:val="2"/>
      <w:sz w:val="21"/>
      <w:szCs w:val="21"/>
      <w:u w:color="000000"/>
      <w:lang w:val="en-US" w:eastAsia="zh-CN" w:bidi="ar-SA"/>
    </w:rPr>
  </w:style>
  <w:style w:type="paragraph" w:customStyle="1" w:styleId="165">
    <w:name w:val="正文 A"/>
    <w:qFormat/>
    <w:uiPriority w:val="0"/>
    <w:rPr>
      <w:rFonts w:ascii="Helvetica" w:hAnsi="Helvetica" w:eastAsia="Arial Unicode MS" w:cs="Arial Unicode MS"/>
      <w:color w:val="000000"/>
      <w:sz w:val="22"/>
      <w:szCs w:val="22"/>
      <w:u w:color="000000"/>
      <w:lang w:val="zh-TW" w:eastAsia="zh-TW" w:bidi="ar-SA"/>
    </w:rPr>
  </w:style>
  <w:style w:type="paragraph" w:customStyle="1" w:styleId="166">
    <w:name w:val="_Style 5"/>
    <w:qFormat/>
    <w:uiPriority w:val="0"/>
    <w:pPr>
      <w:widowControl w:val="0"/>
      <w:ind w:firstLine="420"/>
      <w:jc w:val="both"/>
    </w:pPr>
    <w:rPr>
      <w:rFonts w:ascii="Calibri" w:hAnsi="Calibri" w:eastAsia="Calibri" w:cs="Calibri"/>
      <w:color w:val="000000"/>
      <w:kern w:val="2"/>
      <w:sz w:val="21"/>
      <w:szCs w:val="21"/>
      <w:u w:color="000000"/>
      <w:lang w:val="en-US" w:eastAsia="zh-CN" w:bidi="ar-SA"/>
    </w:rPr>
  </w:style>
  <w:style w:type="paragraph" w:customStyle="1" w:styleId="167">
    <w:name w:val="ordinary-output"/>
    <w:qFormat/>
    <w:uiPriority w:val="0"/>
    <w:pPr>
      <w:spacing w:before="100" w:after="60" w:line="264" w:lineRule="atLeast"/>
    </w:pPr>
    <w:rPr>
      <w:rFonts w:ascii="宋体" w:hAnsi="宋体" w:eastAsia="宋体" w:cs="宋体"/>
      <w:color w:val="333333"/>
      <w:sz w:val="22"/>
      <w:szCs w:val="22"/>
      <w:u w:color="333333"/>
      <w:lang w:val="en-US" w:eastAsia="zh-CN" w:bidi="ar-SA"/>
    </w:rPr>
  </w:style>
  <w:style w:type="paragraph" w:customStyle="1" w:styleId="168">
    <w:name w:val="正文 A A"/>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customStyle="1" w:styleId="169">
    <w:name w:val="Hyperlink.0"/>
    <w:qFormat/>
    <w:uiPriority w:val="0"/>
  </w:style>
  <w:style w:type="character" w:customStyle="1" w:styleId="170">
    <w:name w:val="Hyperlink.1"/>
    <w:qFormat/>
    <w:uiPriority w:val="0"/>
  </w:style>
  <w:style w:type="character" w:customStyle="1" w:styleId="171">
    <w:name w:val="Hyperlink.2"/>
    <w:qFormat/>
    <w:uiPriority w:val="0"/>
  </w:style>
  <w:style w:type="character" w:customStyle="1" w:styleId="172">
    <w:name w:val="Hyperlink.3"/>
    <w:qFormat/>
    <w:uiPriority w:val="0"/>
  </w:style>
  <w:style w:type="character" w:customStyle="1" w:styleId="173">
    <w:name w:val="列表段落 字符"/>
    <w:link w:val="164"/>
    <w:qFormat/>
    <w:uiPriority w:val="99"/>
    <w:rPr>
      <w:rFonts w:ascii="等线" w:hAnsi="等线" w:eastAsia="等线"/>
      <w:color w:val="000000"/>
      <w:kern w:val="2"/>
      <w:sz w:val="21"/>
      <w:szCs w:val="21"/>
      <w:u w:color="000000"/>
      <w:lang w:bidi="ar-SA"/>
    </w:rPr>
  </w:style>
  <w:style w:type="character" w:customStyle="1" w:styleId="174">
    <w:name w:val="short_text"/>
    <w:qFormat/>
    <w:uiPriority w:val="0"/>
  </w:style>
  <w:style w:type="character" w:customStyle="1" w:styleId="175">
    <w:name w:val="一级条标题 Char"/>
    <w:link w:val="52"/>
    <w:qFormat/>
    <w:uiPriority w:val="0"/>
    <w:rPr>
      <w:rFonts w:ascii="黑体" w:eastAsia="黑体"/>
      <w:sz w:val="21"/>
      <w:szCs w:val="21"/>
      <w:lang w:bidi="ar-SA"/>
    </w:rPr>
  </w:style>
  <w:style w:type="character" w:customStyle="1" w:styleId="176">
    <w:name w:val="页眉 字符"/>
    <w:link w:val="23"/>
    <w:qFormat/>
    <w:uiPriority w:val="99"/>
    <w:rPr>
      <w:kern w:val="2"/>
      <w:sz w:val="18"/>
      <w:szCs w:val="18"/>
    </w:rPr>
  </w:style>
  <w:style w:type="character" w:customStyle="1" w:styleId="177">
    <w:name w:val="HTML 预设格式 字符"/>
    <w:link w:val="36"/>
    <w:qFormat/>
    <w:uiPriority w:val="99"/>
    <w:rPr>
      <w:rFonts w:ascii="宋体" w:hAnsi="宋体" w:cs="宋体"/>
      <w:sz w:val="24"/>
      <w:szCs w:val="24"/>
    </w:rPr>
  </w:style>
  <w:style w:type="character" w:customStyle="1" w:styleId="178">
    <w:name w:val="fontstyle01"/>
    <w:qFormat/>
    <w:uiPriority w:val="0"/>
    <w:rPr>
      <w:rFonts w:hint="default" w:ascii="FZXH1JW--GB1-0" w:hAnsi="FZXH1JW--GB1-0"/>
      <w:color w:val="231F20"/>
      <w:sz w:val="22"/>
      <w:szCs w:val="22"/>
    </w:rPr>
  </w:style>
  <w:style w:type="character" w:customStyle="1" w:styleId="179">
    <w:name w:val="列出段落 字符"/>
    <w:qFormat/>
    <w:uiPriority w:val="34"/>
    <w:rPr>
      <w:rFonts w:ascii="等线" w:hAnsi="等线" w:eastAsia="等线"/>
      <w:color w:val="000000"/>
      <w:kern w:val="2"/>
      <w:sz w:val="21"/>
      <w:szCs w:val="21"/>
      <w:u w:color="000000"/>
    </w:rPr>
  </w:style>
  <w:style w:type="paragraph" w:customStyle="1" w:styleId="180">
    <w:name w:val="样式 批注文字 + 黑色 首行缩进:  2 字符"/>
    <w:basedOn w:val="11"/>
    <w:qFormat/>
    <w:uiPriority w:val="0"/>
    <w:pPr>
      <w:ind w:firstLine="420" w:firstLineChars="200"/>
    </w:pPr>
    <w:rPr>
      <w:rFonts w:ascii="Calibri" w:hAnsi="Calibri" w:cs="宋体"/>
      <w:color w:val="000000"/>
      <w:szCs w:val="20"/>
    </w:rPr>
  </w:style>
  <w:style w:type="character" w:customStyle="1" w:styleId="181">
    <w:name w:val="二级条标题 字符"/>
    <w:link w:val="56"/>
    <w:qFormat/>
    <w:uiPriority w:val="99"/>
    <w:rPr>
      <w:rFonts w:ascii="黑体" w:eastAsia="黑体"/>
      <w:sz w:val="21"/>
      <w:szCs w:val="21"/>
    </w:rPr>
  </w:style>
  <w:style w:type="character" w:customStyle="1" w:styleId="182">
    <w:name w:val="content-right_8zs40"/>
    <w:basedOn w:val="43"/>
    <w:qFormat/>
    <w:uiPriority w:val="0"/>
  </w:style>
  <w:style w:type="paragraph" w:customStyle="1" w:styleId="18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4">
    <w:name w:val="修订2"/>
    <w:hidden/>
    <w:semiHidden/>
    <w:qFormat/>
    <w:uiPriority w:val="99"/>
    <w:rPr>
      <w:rFonts w:ascii="Times New Roman" w:hAnsi="Times New Roman" w:eastAsia="宋体" w:cs="Times New Roman"/>
      <w:kern w:val="2"/>
      <w:sz w:val="21"/>
      <w:szCs w:val="24"/>
      <w:lang w:val="en-US" w:eastAsia="zh-CN" w:bidi="ar-SA"/>
    </w:rPr>
  </w:style>
  <w:style w:type="table" w:customStyle="1" w:styleId="185">
    <w:name w:val="网格型3"/>
    <w:basedOn w:val="4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网格型2"/>
    <w:basedOn w:val="4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1"/>
    <w:basedOn w:val="4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8">
    <w:name w:val="标题 字符"/>
    <w:basedOn w:val="43"/>
    <w:link w:val="39"/>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E54C5-50A4-4B5C-B0CF-7D01530287A8}">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10</Pages>
  <Words>3148</Words>
  <Characters>3636</Characters>
  <Lines>45</Lines>
  <Paragraphs>12</Paragraphs>
  <TotalTime>51</TotalTime>
  <ScaleCrop>false</ScaleCrop>
  <LinksUpToDate>false</LinksUpToDate>
  <CharactersWithSpaces>3793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2026-05-27T06:35:00Z</dcterms:created>
  <dc:creator>CNIS</dc:creator>
  <cp:lastModifiedBy>李舒畅</cp:lastModifiedBy>
  <cp:lastPrinted>2024-09-20T04:43:00Z</cp:lastPrinted>
  <dcterms:modified xsi:type="dcterms:W3CDTF">2026-06-01T02:00:51Z</dcterms:modified>
  <dc:title>标准名称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eyJoZGlkIjoiNTJhODhkZjViODYwNWU1MWFlOGU5MDkzMjY5M2M2NDEiLCJ1c2VySWQiOiIzMzk1MDMzMzUifQ==</vt:lpwstr>
  </property>
  <property fmtid="{D5CDD505-2E9C-101B-9397-08002B2CF9AE}" pid="4" name="ICV">
    <vt:lpwstr>D6A5F9E9304A47A2AA94A3BADF3DB45A_13</vt:lpwstr>
  </property>
</Properties>
</file>